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24" w:rsidRDefault="003A7124" w:rsidP="003A712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9</w:t>
      </w:r>
      <w:r w:rsidRPr="00B301FB">
        <w:rPr>
          <w:rFonts w:ascii="Times New Roman" w:hAnsi="Times New Roman" w:cs="Times New Roman"/>
          <w:b/>
          <w:sz w:val="32"/>
        </w:rPr>
        <w:t xml:space="preserve"> группа</w:t>
      </w:r>
    </w:p>
    <w:p w:rsidR="003A7124" w:rsidRDefault="003A7124" w:rsidP="003A7124">
      <w:pPr>
        <w:rPr>
          <w:b/>
          <w:sz w:val="40"/>
          <w:szCs w:val="40"/>
        </w:rPr>
      </w:pPr>
      <w:r>
        <w:rPr>
          <w:b/>
          <w:sz w:val="40"/>
          <w:szCs w:val="40"/>
        </w:rPr>
        <w:t>Группа 9 (Математика):</w:t>
      </w:r>
    </w:p>
    <w:p w:rsidR="003A7124" w:rsidRDefault="003A7124" w:rsidP="003A7124">
      <w:pPr>
        <w:rPr>
          <w:sz w:val="36"/>
          <w:szCs w:val="36"/>
        </w:rPr>
      </w:pPr>
      <w:r>
        <w:rPr>
          <w:sz w:val="32"/>
          <w:szCs w:val="32"/>
        </w:rPr>
        <w:t>Подготовка к экзаменационной работе</w:t>
      </w:r>
      <w:r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Выполнить:</w:t>
      </w:r>
    </w:p>
    <w:p w:rsidR="003A7124" w:rsidRDefault="003A7124" w:rsidP="003A7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Упростите</w:t>
      </w:r>
    </w:p>
    <w:p w:rsidR="003A7124" w:rsidRDefault="003A7124" w:rsidP="003A712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position w:val="-6"/>
          <w:sz w:val="28"/>
          <w:szCs w:val="28"/>
          <w:u w:val="single"/>
          <w:lang w:eastAsia="ru-RU"/>
        </w:rPr>
        <w:object w:dxaOrig="2328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pt;height:44.85pt" o:ole="">
            <v:imagedata r:id="rId6" o:title=""/>
          </v:shape>
          <o:OLEObject Type="Embed" ProgID="Equation.3" ShapeID="_x0000_i1025" DrawAspect="Content" ObjectID="_1700891345" r:id="rId7"/>
        </w:object>
      </w:r>
    </w:p>
    <w:p w:rsidR="003A7124" w:rsidRDefault="003A7124" w:rsidP="003A7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Решите неравенство</w:t>
      </w:r>
    </w:p>
    <w:p w:rsidR="003A7124" w:rsidRDefault="003A7124" w:rsidP="003A7124">
      <w:pPr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44" w:dyaOrig="948">
          <v:shape id="_x0000_i1026" type="#_x0000_t75" style="width:66.95pt;height:47.35pt" o:ole="">
            <v:imagedata r:id="rId8" o:title=""/>
          </v:shape>
          <o:OLEObject Type="Embed" ProgID="Equation.3" ShapeID="_x0000_i1026" DrawAspect="Content" ObjectID="_1700891346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124" w:rsidRDefault="003A7124" w:rsidP="003A7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3A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3A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964" w:dyaOrig="1008">
          <v:shape id="_x0000_i1027" type="#_x0000_t75" style="width:148.4pt;height:50.55pt" o:ole="">
            <v:imagedata r:id="rId10" o:title=""/>
          </v:shape>
          <o:OLEObject Type="Embed" ProgID="Equation.3" ShapeID="_x0000_i1027" DrawAspect="Content" ObjectID="_1700891347" r:id="rId1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124" w:rsidRDefault="003A7124" w:rsidP="003A7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у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88" w:dyaOrig="300">
          <v:shape id="_x0000_i1028" type="#_x0000_t75" style="width:14.55pt;height:15.15pt" o:ole="">
            <v:imagedata r:id="rId12" o:title=""/>
          </v:shape>
          <o:OLEObject Type="Embed" ProgID="Equation.3" ShapeID="_x0000_i1028" DrawAspect="Content" ObjectID="_1700891348" r:id="rId1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задана своим графиком. Укажите: </w:t>
      </w:r>
    </w:p>
    <w:p w:rsidR="003A7124" w:rsidRDefault="003A7124" w:rsidP="003A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191135</wp:posOffset>
            </wp:positionV>
            <wp:extent cx="2451100" cy="2387600"/>
            <wp:effectExtent l="0" t="0" r="6350" b="0"/>
            <wp:wrapTight wrapText="bothSides">
              <wp:wrapPolygon edited="0">
                <wp:start x="0" y="0"/>
                <wp:lineTo x="0" y="21370"/>
                <wp:lineTo x="21488" y="21370"/>
                <wp:lineTo x="21488" y="0"/>
                <wp:lineTo x="0" y="0"/>
              </wp:wrapPolygon>
            </wp:wrapTight>
            <wp:docPr id="1" name="Рисунок 1" descr="Описание: 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3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124" w:rsidRDefault="003A7124" w:rsidP="003A71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область определения функции;</w:t>
      </w:r>
    </w:p>
    <w:p w:rsidR="003A7124" w:rsidRDefault="003A7124" w:rsidP="003A71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каких значениях </w:t>
      </w:r>
      <w:r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88" w:dyaOrig="300">
          <v:shape id="_x0000_i1029" type="#_x0000_t75" style="width:14.55pt;height:15.15pt" o:ole="">
            <v:imagedata r:id="rId15" o:title=""/>
          </v:shape>
          <o:OLEObject Type="Embed" ProgID="Equation.3" ShapeID="_x0000_i1029" DrawAspect="Content" ObjectID="_1700891349" r:id="rId1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452" w:dyaOrig="480">
          <v:shape id="_x0000_i1030" type="#_x0000_t75" style="width:72.65pt;height:24pt" o:ole="">
            <v:imagedata r:id="rId17" o:title=""/>
          </v:shape>
          <o:OLEObject Type="Embed" ProgID="Equation.3" ShapeID="_x0000_i1030" DrawAspect="Content" ObjectID="_1700891350" r:id="rId18"/>
        </w:object>
      </w:r>
    </w:p>
    <w:p w:rsidR="003A7124" w:rsidRDefault="003A7124" w:rsidP="003A71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каких значениях </w:t>
      </w:r>
      <w:r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88" w:dyaOrig="300">
          <v:shape id="_x0000_i1031" type="#_x0000_t75" style="width:14.55pt;height:15.15pt" o:ole="">
            <v:imagedata r:id="rId19" o:title=""/>
          </v:shape>
          <o:OLEObject Type="Embed" ProgID="Equation.3" ShapeID="_x0000_i1031" DrawAspect="Content" ObjectID="_1700891351" r:id="rId2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664" w:dyaOrig="504">
          <v:shape id="_x0000_i1032" type="#_x0000_t75" style="width:133.25pt;height:25.25pt" o:ole="">
            <v:imagedata r:id="rId21" o:title=""/>
          </v:shape>
          <o:OLEObject Type="Embed" ProgID="Equation.3" ShapeID="_x0000_i1032" DrawAspect="Content" ObjectID="_1700891352" r:id="rId22"/>
        </w:object>
      </w:r>
    </w:p>
    <w:p w:rsidR="003A7124" w:rsidRDefault="003A7124" w:rsidP="003A71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каких точках графика касательные к нему параллельны оси абсцисс;</w:t>
      </w:r>
    </w:p>
    <w:p w:rsidR="003A7124" w:rsidRDefault="003A7124" w:rsidP="003A71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наибольшее и наименьшее значение функции.</w:t>
      </w:r>
    </w:p>
    <w:p w:rsidR="003A7124" w:rsidRDefault="003A7124" w:rsidP="003A71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24" w:rsidRDefault="003A7124" w:rsidP="003A71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24" w:rsidRDefault="003A7124" w:rsidP="003A71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24" w:rsidRDefault="003A7124" w:rsidP="003A71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24" w:rsidRDefault="003A7124" w:rsidP="003A71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24" w:rsidRDefault="003A7124" w:rsidP="003A7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</w:p>
    <w:p w:rsidR="003A7124" w:rsidRDefault="003A7124" w:rsidP="003A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228" w:dyaOrig="636">
          <v:shape id="_x0000_i1033" type="#_x0000_t75" style="width:161.7pt;height:31.6pt" o:ole="">
            <v:imagedata r:id="rId23" o:title=""/>
          </v:shape>
          <o:OLEObject Type="Embed" ProgID="Equation.3" ShapeID="_x0000_i1033" DrawAspect="Content" ObjectID="_1700891353" r:id="rId2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проходит через точку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(-3;17)</w:t>
      </w:r>
    </w:p>
    <w:p w:rsidR="003A7124" w:rsidRDefault="003A7124" w:rsidP="003A7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уравнение: </w:t>
      </w:r>
    </w:p>
    <w:p w:rsidR="003A7124" w:rsidRDefault="003A7124" w:rsidP="003A71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3588" w:dyaOrig="948">
          <v:shape id="_x0000_i1034" type="#_x0000_t75" style="width:179.35pt;height:47.35pt" o:ole="">
            <v:imagedata r:id="rId25" o:title=""/>
          </v:shape>
          <o:OLEObject Type="Embed" ProgID="Equation.3" ShapeID="_x0000_i1034" DrawAspect="Content" ObjectID="_1700891354" r:id="rId26"/>
        </w:object>
      </w:r>
    </w:p>
    <w:p w:rsidR="003A7124" w:rsidRDefault="003A7124" w:rsidP="003A7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систему уравнений</w:t>
      </w:r>
    </w:p>
    <w:p w:rsidR="003A7124" w:rsidRDefault="003A7124" w:rsidP="003A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42"/>
          <w:sz w:val="24"/>
          <w:szCs w:val="24"/>
          <w:lang w:eastAsia="ru-RU"/>
        </w:rPr>
        <w:object w:dxaOrig="2100" w:dyaOrig="1608">
          <v:shape id="_x0000_i1035" type="#_x0000_t75" style="width:104.85pt;height:80.2pt" o:ole="">
            <v:imagedata r:id="rId27" o:title=""/>
          </v:shape>
          <o:OLEObject Type="Embed" ProgID="Equation.3" ShapeID="_x0000_i1035" DrawAspect="Content" ObjectID="_1700891355" r:id="rId28"/>
        </w:object>
      </w:r>
    </w:p>
    <w:p w:rsidR="003A7124" w:rsidRDefault="003A7124" w:rsidP="003A7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Найти промежутки возрастания функции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24" w:dyaOrig="636">
          <v:shape id="_x0000_i1036" type="#_x0000_t75" style="width:150.95pt;height:31.6pt" o:ole="">
            <v:imagedata r:id="rId29" o:title=""/>
          </v:shape>
          <o:OLEObject Type="Embed" ProgID="Equation.3" ShapeID="_x0000_i1036" DrawAspect="Content" ObjectID="_1700891356" r:id="rId3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</w:t>
      </w:r>
    </w:p>
    <w:p w:rsidR="003A7124" w:rsidRDefault="003A7124" w:rsidP="003A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24" w:rsidRDefault="003A7124" w:rsidP="003A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24" w:rsidRDefault="003A7124" w:rsidP="003A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A7124" w:rsidRDefault="003A7124" w:rsidP="003A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Документационное обеспечение деятельности организации: </w:t>
      </w:r>
    </w:p>
    <w:p w:rsidR="003A7124" w:rsidRDefault="003A7124" w:rsidP="003A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A7124" w:rsidRDefault="003A7124" w:rsidP="003A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Характеристика справочно-аналитической документации</w:t>
      </w:r>
    </w:p>
    <w:p w:rsidR="003A7124" w:rsidRDefault="003A7124" w:rsidP="003A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Особенности оформления регистрационной карточки на справочн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аналитическую документацию: Акты, выписки из актов, служебные письма, протоколы, выписки  из протоколов.</w:t>
      </w:r>
    </w:p>
    <w:p w:rsidR="003A7124" w:rsidRDefault="003A7124" w:rsidP="003A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по 5 вопросов по каждой теме и ответить на них.</w:t>
      </w:r>
    </w:p>
    <w:p w:rsidR="003A7124" w:rsidRDefault="003A7124" w:rsidP="003A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24" w:rsidRDefault="003A7124" w:rsidP="003A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24" w:rsidRDefault="003A7124" w:rsidP="003A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Практика:</w:t>
      </w:r>
    </w:p>
    <w:p w:rsidR="003A7124" w:rsidRDefault="003A7124" w:rsidP="003A7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A7124" w:rsidRDefault="003A7124" w:rsidP="003A71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К экзаменационной сессии: билеты готовим по практике № 1-4 и № 1-3 изучаем.</w:t>
      </w:r>
    </w:p>
    <w:p w:rsidR="003A7124" w:rsidRDefault="003A7124" w:rsidP="003A7124">
      <w:pPr>
        <w:rPr>
          <w:sz w:val="32"/>
          <w:szCs w:val="32"/>
        </w:rPr>
      </w:pPr>
      <w:r>
        <w:rPr>
          <w:sz w:val="32"/>
          <w:szCs w:val="32"/>
        </w:rPr>
        <w:t>2. Разобрать тему: Создание классификации служебной документации</w:t>
      </w:r>
    </w:p>
    <w:p w:rsidR="003A7124" w:rsidRDefault="003A7124" w:rsidP="003A7124">
      <w:pPr>
        <w:rPr>
          <w:sz w:val="32"/>
          <w:szCs w:val="32"/>
        </w:rPr>
      </w:pPr>
      <w:r>
        <w:rPr>
          <w:sz w:val="32"/>
          <w:szCs w:val="32"/>
        </w:rPr>
        <w:t>3. Разобрать компетенции.</w:t>
      </w:r>
    </w:p>
    <w:p w:rsidR="003A7124" w:rsidRDefault="003A7124" w:rsidP="003A7124">
      <w:pPr>
        <w:rPr>
          <w:b/>
          <w:sz w:val="40"/>
          <w:szCs w:val="40"/>
        </w:rPr>
      </w:pPr>
    </w:p>
    <w:p w:rsidR="009F5E3D" w:rsidRDefault="007F25DA"/>
    <w:p w:rsidR="007F25DA" w:rsidRDefault="007F25DA" w:rsidP="007F25DA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Задание на 11.12-13.12</w:t>
      </w:r>
    </w:p>
    <w:p w:rsidR="007F25DA" w:rsidRDefault="007F25DA" w:rsidP="007F25D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Ерохина Ирина Александровна</w:t>
      </w:r>
    </w:p>
    <w:p w:rsidR="007F25DA" w:rsidRDefault="007F25DA" w:rsidP="007F2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hyperlink r:id="rId31" w:history="1">
        <w:r>
          <w:rPr>
            <w:rStyle w:val="a3"/>
            <w:sz w:val="28"/>
            <w:szCs w:val="28"/>
            <w:lang w:val="en-US"/>
          </w:rPr>
          <w:t>ira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erokhina</w:t>
        </w:r>
        <w:r>
          <w:rPr>
            <w:rStyle w:val="a3"/>
            <w:sz w:val="28"/>
            <w:szCs w:val="28"/>
          </w:rPr>
          <w:t>2011@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7F25DA" w:rsidRDefault="007F25DA" w:rsidP="007F25DA">
      <w:pPr>
        <w:rPr>
          <w:rFonts w:ascii="Times New Roman" w:hAnsi="Times New Roman"/>
          <w:sz w:val="28"/>
          <w:szCs w:val="28"/>
        </w:rPr>
      </w:pPr>
    </w:p>
    <w:p w:rsidR="007F25DA" w:rsidRDefault="007F25DA" w:rsidP="007F25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Техника машинописи</w:t>
      </w:r>
    </w:p>
    <w:p w:rsidR="007F25DA" w:rsidRDefault="007F25DA" w:rsidP="007F2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урока «Совершенствование техники и скорости письма»</w:t>
      </w:r>
    </w:p>
    <w:p w:rsidR="007F25DA" w:rsidRDefault="007F25DA" w:rsidP="007F2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Работа на тренажере «</w:t>
      </w:r>
      <w:r>
        <w:rPr>
          <w:rFonts w:ascii="Times New Roman" w:hAnsi="Times New Roman"/>
          <w:sz w:val="24"/>
          <w:szCs w:val="24"/>
          <w:lang w:val="en-US"/>
        </w:rPr>
        <w:t>Stamina</w:t>
      </w:r>
      <w:r>
        <w:rPr>
          <w:rFonts w:ascii="Times New Roman" w:hAnsi="Times New Roman"/>
          <w:sz w:val="24"/>
          <w:szCs w:val="24"/>
        </w:rPr>
        <w:t xml:space="preserve">» в течение 45 минут. Уровень – предложения. Результат сообщить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F25DA" w:rsidRDefault="007F25DA" w:rsidP="007F25DA">
      <w:pPr>
        <w:rPr>
          <w:rFonts w:ascii="Times New Roman" w:hAnsi="Times New Roman"/>
          <w:sz w:val="24"/>
          <w:szCs w:val="24"/>
        </w:rPr>
      </w:pPr>
    </w:p>
    <w:p w:rsidR="007F25DA" w:rsidRDefault="007F25DA" w:rsidP="007F25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НПО архивного дела</w:t>
      </w:r>
    </w:p>
    <w:p w:rsidR="007F25DA" w:rsidRDefault="007F25DA" w:rsidP="007F2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урока: «Создание описи дел»</w:t>
      </w:r>
    </w:p>
    <w:p w:rsidR="007F25DA" w:rsidRDefault="007F25DA" w:rsidP="007F25DA">
      <w:pPr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ПРАКТИЧЕСКОЕ ЗАДАНИЕ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ИНСТРУКЦИЯ: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Внимательно прочитайте задание.</w:t>
      </w:r>
    </w:p>
    <w:p w:rsidR="007F25DA" w:rsidRDefault="007F25DA" w:rsidP="007F25DA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Составьте опись дел по личному составу (невостребованные подлинные личные документы).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При выполнении практического задания используйте текст задания и форму описи дел по личному составу.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 опись дел по личному составу включите заголовки документов, данные в тексте задания.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Текст задания: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Трудовая книжка Бочкина Юрия Николаевича. То же Вишняковой Тамары Сергеевны. То же Зверева Алексея Павловича. То же Кузнецовой Ольги Анатольевны. Диплом об окончании высшего учебного заведения Жукова Григория Ивановича.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5DA" w:rsidRDefault="007F25DA" w:rsidP="007F25DA">
      <w:pPr>
        <w:spacing w:after="0" w:line="294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описи дел по личному составу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 УТВЕРЖДАЮ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___________И.О. Фамилия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____________ 201_г.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Фонд № ________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№ _______</w:t>
      </w:r>
    </w:p>
    <w:p w:rsidR="007F25DA" w:rsidRDefault="007F25DA" w:rsidP="007F25D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 по личному составу</w:t>
      </w:r>
    </w:p>
    <w:p w:rsidR="007F25DA" w:rsidRDefault="007F25DA" w:rsidP="007F25D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079"/>
        <w:gridCol w:w="1640"/>
        <w:gridCol w:w="1669"/>
        <w:gridCol w:w="2032"/>
        <w:gridCol w:w="1472"/>
        <w:gridCol w:w="1679"/>
      </w:tblGrid>
      <w:tr w:rsidR="007F25DA" w:rsidTr="007F25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Default="007F25D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shd w:val="clear" w:color="auto" w:fill="F5F5F5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4"/>
                <w:shd w:val="clear" w:color="auto" w:fill="F5F5F5"/>
                <w:lang w:eastAsia="ru-RU"/>
              </w:rPr>
              <w:t>/п</w:t>
            </w:r>
          </w:p>
          <w:p w:rsidR="007F25DA" w:rsidRDefault="007F25DA">
            <w:pPr>
              <w:spacing w:line="294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Default="007F25DA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Индекс дела</w:t>
            </w:r>
          </w:p>
          <w:p w:rsidR="007F25DA" w:rsidRDefault="007F25DA">
            <w:pPr>
              <w:spacing w:line="294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Default="007F25DA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Крайние даты</w:t>
            </w:r>
          </w:p>
          <w:p w:rsidR="007F25DA" w:rsidRDefault="007F25DA">
            <w:pPr>
              <w:spacing w:line="294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Default="007F25DA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Заголовок дела</w:t>
            </w:r>
          </w:p>
          <w:p w:rsidR="007F25DA" w:rsidRDefault="007F25DA">
            <w:pPr>
              <w:spacing w:line="294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Default="007F25DA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Количество листов</w:t>
            </w:r>
          </w:p>
          <w:p w:rsidR="007F25DA" w:rsidRDefault="007F25DA">
            <w:pPr>
              <w:spacing w:line="294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A" w:rsidRDefault="007F25DA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Примечание</w:t>
            </w:r>
          </w:p>
          <w:p w:rsidR="007F25DA" w:rsidRDefault="007F25DA">
            <w:pPr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7F25DA" w:rsidRDefault="007F25DA">
            <w:pPr>
              <w:spacing w:line="294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5DA" w:rsidRDefault="007F25DA" w:rsidP="007F2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5DA" w:rsidRDefault="007F25DA" w:rsidP="007F2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5DA" w:rsidRDefault="007F25DA" w:rsidP="007F2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5DA" w:rsidRDefault="007F25DA" w:rsidP="007F2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5DA" w:rsidRDefault="007F25DA" w:rsidP="007F2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5DA" w:rsidRDefault="007F25DA" w:rsidP="007F2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данный раздел описи внесено ___________________ дел,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 по № ___, в том числе: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(цифрами и прописью)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литерные номера: _________________________________________________________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пропущенные номера: _____________________________________________________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должности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составителя описи Личная подпись Расшифровка подписи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должности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руководителя архива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(лица, ответственного за архив) Личная подпись Расшифровка подписи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 УТВЕРЖДЕНО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ЦЭК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 организации Протокол ЭПК архивного учреждения</w:t>
      </w:r>
    </w:p>
    <w:p w:rsidR="007F25DA" w:rsidRDefault="007F25DA" w:rsidP="007F25DA">
      <w:pPr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___________________ № _____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 № _____</w:t>
      </w:r>
    </w:p>
    <w:p w:rsidR="007F25DA" w:rsidRDefault="007F25DA" w:rsidP="007F25DA">
      <w:pPr>
        <w:rPr>
          <w:rFonts w:ascii="Times New Roman" w:eastAsia="Calibri" w:hAnsi="Times New Roman" w:cs="Times New Roman"/>
          <w:sz w:val="24"/>
          <w:szCs w:val="24"/>
        </w:rPr>
      </w:pPr>
    </w:p>
    <w:p w:rsidR="007F25DA" w:rsidRDefault="007F25DA" w:rsidP="007F25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25DA" w:rsidRDefault="007F25DA" w:rsidP="007F25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Основы редактирования</w:t>
      </w:r>
    </w:p>
    <w:p w:rsidR="007F25DA" w:rsidRDefault="007F25DA" w:rsidP="007F25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Тема урока: «</w:t>
      </w:r>
      <w:r>
        <w:rPr>
          <w:rFonts w:ascii="Times New Roman" w:hAnsi="Times New Roman"/>
          <w:sz w:val="24"/>
          <w:szCs w:val="24"/>
        </w:rPr>
        <w:t xml:space="preserve">Оформление сокращений». </w:t>
      </w:r>
      <w:r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7F25DA" w:rsidRDefault="007F25DA" w:rsidP="007F25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 xml:space="preserve">переписать в тетрадь данный  материал, </w:t>
      </w:r>
      <w:proofErr w:type="spellStart"/>
      <w:r>
        <w:rPr>
          <w:rFonts w:ascii="Times New Roman" w:hAnsi="Times New Roman"/>
          <w:sz w:val="24"/>
          <w:szCs w:val="24"/>
        </w:rPr>
        <w:t>выучть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25DA" w:rsidRDefault="007F25DA" w:rsidP="007F25DA">
      <w:pPr>
        <w:rPr>
          <w:rFonts w:ascii="Times New Roman" w:hAnsi="Times New Roman"/>
          <w:b/>
          <w:sz w:val="24"/>
          <w:szCs w:val="24"/>
        </w:rPr>
      </w:pPr>
    </w:p>
    <w:p w:rsidR="007F25DA" w:rsidRDefault="007F25DA" w:rsidP="007F25D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Правила оформления сокращений</w:t>
      </w:r>
    </w:p>
    <w:p w:rsidR="007F25DA" w:rsidRDefault="007F25DA" w:rsidP="007F25D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Всегда пишется с пробелом после точки: т. д.; т. п.; т. к.; и др.; до н. э.</w:t>
      </w:r>
      <w:proofErr w:type="gramEnd"/>
    </w:p>
    <w:p w:rsidR="007F25DA" w:rsidRDefault="007F25DA" w:rsidP="007F25D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После сокращения тыс. точка ставится. Не ставится точка после сокращений 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(метр), г (грамм), кг (килограмм),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>, млрд, га.</w:t>
      </w:r>
    </w:p>
    <w:p w:rsidR="007F25DA" w:rsidRDefault="007F25DA" w:rsidP="007F25D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После сочетания гг. всегда ставится точка.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НЕ СОКРАЩАЕТСЯ:</w:t>
      </w:r>
      <w:r>
        <w:rPr>
          <w:rFonts w:ascii="Times New Roman" w:hAnsi="Times New Roman"/>
          <w:sz w:val="24"/>
          <w:szCs w:val="24"/>
        </w:rPr>
        <w:br/>
        <w:t xml:space="preserve">— то </w:t>
      </w:r>
      <w:proofErr w:type="gramStart"/>
      <w:r>
        <w:rPr>
          <w:rFonts w:ascii="Times New Roman" w:hAnsi="Times New Roman"/>
          <w:sz w:val="24"/>
          <w:szCs w:val="24"/>
        </w:rPr>
        <w:t>есть</w:t>
      </w:r>
      <w:proofErr w:type="gramEnd"/>
      <w:r>
        <w:rPr>
          <w:rFonts w:ascii="Times New Roman" w:hAnsi="Times New Roman"/>
          <w:sz w:val="24"/>
          <w:szCs w:val="24"/>
        </w:rPr>
        <w:t xml:space="preserve"> т. е.</w:t>
      </w:r>
      <w:r>
        <w:rPr>
          <w:rFonts w:ascii="Times New Roman" w:hAnsi="Times New Roman"/>
          <w:sz w:val="24"/>
          <w:szCs w:val="24"/>
        </w:rPr>
        <w:br/>
        <w:t>— в том числе в т. ч.</w:t>
      </w:r>
      <w:r>
        <w:rPr>
          <w:rFonts w:ascii="Times New Roman" w:hAnsi="Times New Roman"/>
          <w:sz w:val="24"/>
          <w:szCs w:val="24"/>
        </w:rPr>
        <w:br/>
        <w:t>— так называемый т. н.</w:t>
      </w:r>
    </w:p>
    <w:p w:rsidR="007F25DA" w:rsidRDefault="007F25DA" w:rsidP="007F2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Обозначение элементов правовых актов рекомендуется сокращать: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раздел — разд.</w:t>
      </w:r>
      <w:r>
        <w:rPr>
          <w:rFonts w:ascii="Times New Roman" w:hAnsi="Times New Roman"/>
          <w:sz w:val="24"/>
          <w:szCs w:val="24"/>
        </w:rPr>
        <w:br/>
        <w:t>глава — гл.</w:t>
      </w:r>
      <w:r>
        <w:rPr>
          <w:rFonts w:ascii="Times New Roman" w:hAnsi="Times New Roman"/>
          <w:sz w:val="24"/>
          <w:szCs w:val="24"/>
        </w:rPr>
        <w:br/>
        <w:t>статья — ст.</w:t>
      </w:r>
      <w:r>
        <w:rPr>
          <w:rFonts w:ascii="Times New Roman" w:hAnsi="Times New Roman"/>
          <w:sz w:val="24"/>
          <w:szCs w:val="24"/>
        </w:rPr>
        <w:br/>
        <w:t>пункт — п.</w:t>
      </w:r>
      <w:r>
        <w:rPr>
          <w:rFonts w:ascii="Times New Roman" w:hAnsi="Times New Roman"/>
          <w:sz w:val="24"/>
          <w:szCs w:val="24"/>
        </w:rPr>
        <w:br/>
        <w:t xml:space="preserve">подпункт — подп., </w:t>
      </w:r>
      <w:r>
        <w:rPr>
          <w:rFonts w:ascii="Times New Roman" w:hAnsi="Times New Roman"/>
          <w:bCs/>
          <w:sz w:val="24"/>
          <w:szCs w:val="24"/>
        </w:rPr>
        <w:t xml:space="preserve">не </w:t>
      </w:r>
      <w:proofErr w:type="spellStart"/>
      <w:r>
        <w:rPr>
          <w:rFonts w:ascii="Times New Roman" w:hAnsi="Times New Roman"/>
          <w:bCs/>
          <w:sz w:val="24"/>
          <w:szCs w:val="24"/>
        </w:rPr>
        <w:t>п.п</w:t>
      </w:r>
      <w:proofErr w:type="spellEnd"/>
      <w:r>
        <w:rPr>
          <w:rFonts w:ascii="Times New Roman" w:hAnsi="Times New Roman"/>
          <w:bCs/>
          <w:sz w:val="24"/>
          <w:szCs w:val="24"/>
        </w:rPr>
        <w:t>. или п/п</w:t>
      </w:r>
      <w:proofErr w:type="gramStart"/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ледует сокращать только те обозначения элементов правовых актов, которые позволяет индивидуализировать такой элемент.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Например, </w:t>
      </w:r>
      <w:r>
        <w:rPr>
          <w:rFonts w:ascii="Times New Roman" w:hAnsi="Times New Roman"/>
          <w:sz w:val="24"/>
          <w:szCs w:val="24"/>
        </w:rPr>
        <w:t xml:space="preserve">«В </w:t>
      </w:r>
      <w:r>
        <w:rPr>
          <w:rFonts w:ascii="Times New Roman" w:hAnsi="Times New Roman"/>
          <w:bCs/>
          <w:sz w:val="24"/>
          <w:szCs w:val="24"/>
          <w:u w:val="single"/>
        </w:rPr>
        <w:t>ст.</w:t>
      </w:r>
      <w:r>
        <w:rPr>
          <w:rFonts w:ascii="Times New Roman" w:hAnsi="Times New Roman"/>
          <w:sz w:val="24"/>
          <w:szCs w:val="24"/>
        </w:rPr>
        <w:t xml:space="preserve"> 207 Налогового кодекса Российской Федерации определены налогоплательщики по налогу на доходы физических лиц»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Однако, когда индивидуализировать элемент правового акта невозможно, его обозначение не сокращается: «в данной статье отмечено &lt;…&gt;».</w:t>
      </w:r>
    </w:p>
    <w:p w:rsidR="007F25DA" w:rsidRDefault="007F25DA" w:rsidP="007F2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сокращаются</w:t>
      </w:r>
      <w:r>
        <w:rPr>
          <w:rFonts w:ascii="Times New Roman" w:hAnsi="Times New Roman"/>
          <w:sz w:val="24"/>
          <w:szCs w:val="24"/>
        </w:rPr>
        <w:t xml:space="preserve"> обозначения элементов правовых актов, с которых начинаются предложения.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Например, </w:t>
      </w:r>
      <w:r>
        <w:rPr>
          <w:rFonts w:ascii="Times New Roman" w:hAnsi="Times New Roman"/>
          <w:sz w:val="24"/>
          <w:szCs w:val="24"/>
        </w:rPr>
        <w:t>«Статья 18 Закона наделяет Счётную палату Российской Федерации полномочиями по осуществлению контроля за поступлениями в федеральный бюджет средств»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При указании нескольких номеров статей, пунктов, подпунктов дублировать обозначение элемента правового акта для подчеркивая множественного числа </w:t>
      </w:r>
      <w:proofErr w:type="gramStart"/>
      <w:r>
        <w:rPr>
          <w:rFonts w:ascii="Times New Roman" w:hAnsi="Times New Roman"/>
          <w:sz w:val="24"/>
          <w:szCs w:val="24"/>
        </w:rPr>
        <w:t>существительного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не следует: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ст. 18, 19, 20 НК РФ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>. 18, 19, 20 НК РФ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п. 1, 2, 3 ст. 41 БК РФ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1, 2, 3 ст. 41 БК РФ</w:t>
      </w:r>
      <w:proofErr w:type="gramStart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i/>
          <w:iCs/>
          <w:sz w:val="24"/>
          <w:szCs w:val="24"/>
          <w:highlight w:val="yellow"/>
        </w:rPr>
        <w:t>С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  <w:highlight w:val="yellow"/>
        </w:rPr>
        <w:t>тремитесь к единообразию!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Вы не сокращаете элементы правовых актов в тексте, соблюдайте избранный стиль оформления по всему тексту.</w:t>
      </w:r>
    </w:p>
    <w:p w:rsidR="007F25DA" w:rsidRDefault="007F25DA" w:rsidP="007F25DA">
      <w:pPr>
        <w:rPr>
          <w:rFonts w:ascii="Times New Roman" w:hAnsi="Times New Roman"/>
          <w:b/>
          <w:sz w:val="24"/>
          <w:szCs w:val="24"/>
        </w:rPr>
      </w:pPr>
    </w:p>
    <w:p w:rsidR="007F25DA" w:rsidRDefault="007F25DA" w:rsidP="007F25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Техника машинописи</w:t>
      </w:r>
    </w:p>
    <w:p w:rsidR="007F25DA" w:rsidRDefault="007F25DA" w:rsidP="007F25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7F25DA" w:rsidRDefault="007F25DA" w:rsidP="007F25DA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начертите (создайте таблицу №1 по образцу). Данные введите свои (ФИО). Материал лекции записать в тетрадь.</w:t>
      </w:r>
    </w:p>
    <w:p w:rsidR="007F25DA" w:rsidRDefault="007F25DA" w:rsidP="007F25DA">
      <w:pPr>
        <w:rPr>
          <w:rFonts w:ascii="Times New Roman" w:hAnsi="Times New Roman"/>
          <w:b/>
          <w:sz w:val="28"/>
          <w:szCs w:val="28"/>
        </w:rPr>
      </w:pPr>
    </w:p>
    <w:p w:rsidR="007F25DA" w:rsidRDefault="007F25DA" w:rsidP="007F25DA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29990" cy="5101590"/>
            <wp:effectExtent l="0" t="0" r="3810" b="3810"/>
            <wp:docPr id="3" name="Рисунок 3" descr="Описание: http://www.hr-ok.ru/e-store/New%20Folder/%D0%9A%D0%94-05-00-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hr-ok.ru/e-store/New%20Folder/%D0%9A%D0%94-05-00-45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51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DA" w:rsidRDefault="007F25DA" w:rsidP="007F25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1.</w:t>
      </w:r>
    </w:p>
    <w:p w:rsidR="007F25DA" w:rsidRDefault="007F25DA" w:rsidP="007F25DA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87745" cy="1210945"/>
            <wp:effectExtent l="0" t="0" r="8255" b="8255"/>
            <wp:docPr id="2" name="Рисунок 2" descr="Описание: http://www.hr-ok.ru/upload/static/e-store/journals1/KD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hr-ok.ru/upload/static/e-store/journals1/KD-0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DA" w:rsidRDefault="007F25DA" w:rsidP="007F25DA">
      <w:pPr>
        <w:shd w:val="clear" w:color="auto" w:fill="F6F8F8"/>
        <w:spacing w:line="240" w:lineRule="auto"/>
        <w:jc w:val="both"/>
        <w:rPr>
          <w:rFonts w:ascii="Times New Roman" w:eastAsia="Times New Roman" w:hAnsi="Times New Roman"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>Кадровый приказ</w:t>
      </w:r>
      <w:r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 - правовой акт, издаваемый администрацией для регулирования правоотношений между работником и организацией.  Срок хранения - 5 лет.</w:t>
      </w:r>
    </w:p>
    <w:p w:rsidR="007F25DA" w:rsidRDefault="007F25DA" w:rsidP="007F2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К кадровым приказам со сроком хранения 5 лет относятся следующие приказы:</w:t>
      </w:r>
    </w:p>
    <w:p w:rsidR="007F25DA" w:rsidRDefault="007F25DA" w:rsidP="007F25DA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О направлении работника (работников) в командировку (краткосрочные командировки внутри страны) </w:t>
      </w:r>
    </w:p>
    <w:p w:rsidR="007F25DA" w:rsidRDefault="007F25DA" w:rsidP="007F25DA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О направлении работника (работников) на учебу/семинары </w:t>
      </w:r>
    </w:p>
    <w:p w:rsidR="007F25DA" w:rsidRDefault="007F25DA" w:rsidP="007F25DA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О привлечении к работе в выходные и праздничные дни </w:t>
      </w:r>
    </w:p>
    <w:p w:rsidR="007F25DA" w:rsidRDefault="007F25DA" w:rsidP="007F25DA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О привлечении к сверхурочным работам </w:t>
      </w:r>
    </w:p>
    <w:p w:rsidR="007F25DA" w:rsidRDefault="007F25DA" w:rsidP="007F25DA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О привлечении работника к дисциплинарной ответственности </w:t>
      </w:r>
    </w:p>
    <w:p w:rsidR="007F25DA" w:rsidRDefault="007F25DA" w:rsidP="007F25DA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О снятии с работника дисциплинарной ответственности </w:t>
      </w:r>
    </w:p>
    <w:p w:rsidR="007F25DA" w:rsidRDefault="007F25DA" w:rsidP="007F25DA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Об отстранении от работы </w:t>
      </w:r>
    </w:p>
    <w:p w:rsidR="007F25DA" w:rsidRDefault="007F25DA" w:rsidP="007F25DA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О прекращении отстранения и допуске к работе </w:t>
      </w:r>
    </w:p>
    <w:p w:rsidR="007F25DA" w:rsidRDefault="007F25DA" w:rsidP="007F25DA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О вынесении взыскания работнику за прогул</w:t>
      </w:r>
    </w:p>
    <w:p w:rsidR="007F25DA" w:rsidRDefault="007F25DA" w:rsidP="007F25DA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Об объявлении выговора</w:t>
      </w:r>
    </w:p>
    <w:p w:rsidR="007F25DA" w:rsidRDefault="007F25DA" w:rsidP="007F25DA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и т.д.</w:t>
      </w:r>
    </w:p>
    <w:p w:rsidR="007F25DA" w:rsidRDefault="007F25DA" w:rsidP="007F2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Также, к приказам со сроком хранения 5 лет относятся различные виды приказов на отпуск:</w:t>
      </w:r>
    </w:p>
    <w:p w:rsidR="007F25DA" w:rsidRDefault="007F25DA" w:rsidP="007F25DA">
      <w:pPr>
        <w:numPr>
          <w:ilvl w:val="0"/>
          <w:numId w:val="5"/>
        </w:numPr>
        <w:spacing w:before="100" w:beforeAutospacing="1" w:after="30" w:line="240" w:lineRule="auto"/>
        <w:ind w:left="0"/>
        <w:jc w:val="both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О предоставлении работнику (работникам) ежегодного оплачиваемого отпуска </w:t>
      </w:r>
    </w:p>
    <w:p w:rsidR="007F25DA" w:rsidRDefault="007F25DA" w:rsidP="007F25DA">
      <w:pPr>
        <w:numPr>
          <w:ilvl w:val="0"/>
          <w:numId w:val="5"/>
        </w:numPr>
        <w:spacing w:before="100" w:beforeAutospacing="1" w:after="30" w:line="240" w:lineRule="auto"/>
        <w:ind w:left="0"/>
        <w:jc w:val="both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О переносе ежегодного оплачиваемого отпуска</w:t>
      </w:r>
    </w:p>
    <w:p w:rsidR="007F25DA" w:rsidRDefault="007F25DA" w:rsidP="007F25DA">
      <w:pPr>
        <w:numPr>
          <w:ilvl w:val="0"/>
          <w:numId w:val="5"/>
        </w:numPr>
        <w:spacing w:before="100" w:beforeAutospacing="1" w:after="30" w:line="240" w:lineRule="auto"/>
        <w:ind w:left="0"/>
        <w:jc w:val="both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Об отзыве из ежегодного оплачиваемого отпуска </w:t>
      </w:r>
    </w:p>
    <w:p w:rsidR="007F25DA" w:rsidRDefault="007F25DA" w:rsidP="007F25DA">
      <w:pPr>
        <w:numPr>
          <w:ilvl w:val="0"/>
          <w:numId w:val="5"/>
        </w:numPr>
        <w:spacing w:before="100" w:beforeAutospacing="1" w:after="30" w:line="240" w:lineRule="auto"/>
        <w:ind w:left="0"/>
        <w:jc w:val="both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О предоставлении учебного отпуска </w:t>
      </w:r>
    </w:p>
    <w:p w:rsidR="007F25DA" w:rsidRDefault="007F25DA" w:rsidP="007F25DA">
      <w:pPr>
        <w:numPr>
          <w:ilvl w:val="0"/>
          <w:numId w:val="5"/>
        </w:numPr>
        <w:spacing w:before="100" w:beforeAutospacing="1" w:after="30" w:line="240" w:lineRule="auto"/>
        <w:ind w:left="0"/>
        <w:jc w:val="both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и т.д. </w:t>
      </w:r>
    </w:p>
    <w:p w:rsidR="007F25DA" w:rsidRDefault="007F25DA" w:rsidP="007F25DA">
      <w:pPr>
        <w:spacing w:after="0" w:line="240" w:lineRule="auto"/>
        <w:jc w:val="both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Приказы на отпуск удобнее регистрировать в "Журнале регистрации приказов на отпуск", но при небольшой численности штата допустимо регистрировать их вместе с кадровыми приказами со сроком хранения 5 лет.</w:t>
      </w:r>
    </w:p>
    <w:p w:rsidR="007F25DA" w:rsidRDefault="007F25DA" w:rsidP="007F25DA">
      <w:pPr>
        <w:shd w:val="clear" w:color="auto" w:fill="F6F8F8"/>
        <w:spacing w:after="0" w:line="240" w:lineRule="auto"/>
        <w:jc w:val="both"/>
        <w:rPr>
          <w:rFonts w:ascii="Times New Roman" w:eastAsia="Times New Roman" w:hAnsi="Times New Roman"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br/>
        <w:t>Регистрация</w:t>
      </w:r>
      <w:r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 - это запись учетных данных о документе по установленной форме, фиксирующая факт его создания, отправления или получения.</w:t>
      </w:r>
    </w:p>
    <w:p w:rsidR="007F25DA" w:rsidRDefault="007F25DA" w:rsidP="007F25DA">
      <w:pPr>
        <w:shd w:val="clear" w:color="auto" w:fill="F6F8F8"/>
        <w:spacing w:line="240" w:lineRule="auto"/>
        <w:jc w:val="right"/>
        <w:rPr>
          <w:rFonts w:ascii="Times New Roman" w:eastAsia="Times New Roman" w:hAnsi="Times New Roman"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(ГОСТ </w:t>
      </w:r>
      <w:proofErr w:type="gramStart"/>
      <w:r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Р</w:t>
      </w:r>
      <w:proofErr w:type="gramEnd"/>
      <w:r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 51141-98)</w:t>
      </w:r>
    </w:p>
    <w:p w:rsidR="007F25DA" w:rsidRDefault="007F25DA" w:rsidP="007F2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37383B"/>
          <w:sz w:val="21"/>
          <w:szCs w:val="21"/>
          <w:lang w:eastAsia="ru-RU"/>
        </w:rPr>
        <w:t>Регистрация</w:t>
      </w: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 – подтверждение факта создания или получения документа в определенное время (день) путем внесения его в регистрационную форму с присвоением номера и записью основных данных о документе. Как вытекает из определения, </w:t>
      </w:r>
      <w:proofErr w:type="gramStart"/>
      <w:r>
        <w:rPr>
          <w:rFonts w:ascii="Times New Roman" w:eastAsia="Times New Roman" w:hAnsi="Times New Roman"/>
          <w:b/>
          <w:bCs/>
          <w:color w:val="37383B"/>
          <w:sz w:val="21"/>
          <w:szCs w:val="21"/>
          <w:lang w:eastAsia="ru-RU"/>
        </w:rPr>
        <w:t>регистрация</w:t>
      </w:r>
      <w:proofErr w:type="gramEnd"/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 прежде всего </w:t>
      </w:r>
      <w:r>
        <w:rPr>
          <w:rFonts w:ascii="Times New Roman" w:eastAsia="Times New Roman" w:hAnsi="Times New Roman"/>
          <w:b/>
          <w:bCs/>
          <w:color w:val="37383B"/>
          <w:sz w:val="21"/>
          <w:szCs w:val="21"/>
          <w:lang w:eastAsia="ru-RU"/>
        </w:rPr>
        <w:t>придает юридическую силу документу</w:t>
      </w: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, т.к. фиксирует факт его создания или получения. Пока документ не зарегистрирован, не получил своего номера, он не оформлен и как бы еще не существует.</w:t>
      </w:r>
    </w:p>
    <w:p w:rsidR="007F25DA" w:rsidRDefault="007F25DA" w:rsidP="007F2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 xml:space="preserve">Порядок нумерации кадровых приказов не регламентирован. В Типовой инструкции по делопроизводству в федеральных органах исполнительной власти, утв. приказом </w:t>
      </w:r>
      <w:proofErr w:type="spellStart"/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Росархива</w:t>
      </w:r>
      <w:proofErr w:type="spellEnd"/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 xml:space="preserve"> от 27.11.00 № 68, отмечено лишь, что приказы нумеруются порядковой нумерацией в пределах календарного года; приказы по основной деятельности, по личному составу и распоряжения нумеруются отдельно (п. 4.1.3).</w:t>
      </w:r>
    </w:p>
    <w:p w:rsidR="007F25DA" w:rsidRDefault="007F25DA" w:rsidP="007F2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7383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Для </w:t>
      </w:r>
      <w:r>
        <w:rPr>
          <w:rFonts w:ascii="Times New Roman" w:eastAsia="Times New Roman" w:hAnsi="Times New Roman"/>
          <w:b/>
          <w:bCs/>
          <w:color w:val="37383B"/>
          <w:sz w:val="21"/>
          <w:szCs w:val="21"/>
          <w:lang w:eastAsia="ru-RU"/>
        </w:rPr>
        <w:t>Журнала регистрации кадровых приказов </w:t>
      </w: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установлен срок хранения </w:t>
      </w:r>
      <w:r>
        <w:rPr>
          <w:rFonts w:ascii="Times New Roman" w:eastAsia="Times New Roman" w:hAnsi="Times New Roman"/>
          <w:b/>
          <w:bCs/>
          <w:color w:val="37383B"/>
          <w:sz w:val="21"/>
          <w:szCs w:val="21"/>
          <w:lang w:eastAsia="ru-RU"/>
        </w:rPr>
        <w:t>5 лет. </w:t>
      </w:r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Срок хранения журнала исчисляется </w:t>
      </w:r>
      <w:proofErr w:type="gramStart"/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/>
          <w:color w:val="37383B"/>
          <w:sz w:val="21"/>
          <w:szCs w:val="21"/>
          <w:lang w:eastAsia="ru-RU"/>
        </w:rPr>
        <w:t xml:space="preserve"> последнего приказа.</w:t>
      </w:r>
    </w:p>
    <w:p w:rsidR="007F25DA" w:rsidRDefault="007F25DA" w:rsidP="007F25DA">
      <w:pPr>
        <w:rPr>
          <w:rFonts w:ascii="Times New Roman" w:eastAsia="Calibri" w:hAnsi="Times New Roman"/>
          <w:b/>
          <w:sz w:val="28"/>
          <w:szCs w:val="28"/>
        </w:rPr>
      </w:pPr>
    </w:p>
    <w:p w:rsidR="007F25DA" w:rsidRDefault="007F25DA" w:rsidP="007F25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Деловая культура</w:t>
      </w:r>
    </w:p>
    <w:p w:rsidR="007F25DA" w:rsidRDefault="007F25DA" w:rsidP="007F25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Практическая работа «Особенности делового общения»</w:t>
      </w:r>
    </w:p>
    <w:p w:rsidR="007F25DA" w:rsidRDefault="007F25DA" w:rsidP="007F25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составить кластер - схемы по теме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«Особенности делового общения». </w:t>
      </w:r>
    </w:p>
    <w:p w:rsidR="007F25DA" w:rsidRDefault="007F25DA" w:rsidP="007F25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кластере перечислите особенности делового общения, формы общения, технологии делового общения.</w:t>
      </w:r>
    </w:p>
    <w:p w:rsidR="007F25DA" w:rsidRDefault="007F25DA" w:rsidP="007F25DA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i/>
          <w:sz w:val="28"/>
          <w:szCs w:val="28"/>
        </w:rPr>
      </w:pPr>
      <w:r>
        <w:rPr>
          <w:rStyle w:val="mw-headline"/>
          <w:rFonts w:ascii="Georgia" w:hAnsi="Georgia"/>
          <w:b w:val="0"/>
          <w:bCs w:val="0"/>
          <w:i/>
          <w:sz w:val="28"/>
          <w:szCs w:val="28"/>
        </w:rPr>
        <w:t>Особенности делового общения</w:t>
      </w:r>
    </w:p>
    <w:p w:rsidR="007F25DA" w:rsidRDefault="007F25DA" w:rsidP="007F25DA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/>
          <w:color w:val="202122"/>
          <w:sz w:val="21"/>
          <w:szCs w:val="21"/>
        </w:rPr>
      </w:pPr>
      <w:r>
        <w:rPr>
          <w:rFonts w:ascii="Times New Roman" w:hAnsi="Times New Roman"/>
          <w:color w:val="202122"/>
          <w:sz w:val="21"/>
          <w:szCs w:val="21"/>
        </w:rPr>
        <w:t>Партнер в деловом общении всегда выступает как </w:t>
      </w:r>
      <w:hyperlink r:id="rId34" w:tooltip="Личность" w:history="1">
        <w:r>
          <w:rPr>
            <w:rStyle w:val="a3"/>
            <w:color w:val="0645AD"/>
            <w:sz w:val="21"/>
            <w:szCs w:val="21"/>
          </w:rPr>
          <w:t>личность</w:t>
        </w:r>
      </w:hyperlink>
      <w:r>
        <w:rPr>
          <w:rFonts w:ascii="Times New Roman" w:hAnsi="Times New Roman"/>
          <w:color w:val="202122"/>
          <w:sz w:val="21"/>
          <w:szCs w:val="21"/>
        </w:rPr>
        <w:t>, значимая для </w:t>
      </w:r>
      <w:hyperlink r:id="rId35" w:tooltip="Субъект" w:history="1">
        <w:r>
          <w:rPr>
            <w:rStyle w:val="a3"/>
            <w:color w:val="0645AD"/>
            <w:sz w:val="21"/>
            <w:szCs w:val="21"/>
          </w:rPr>
          <w:t>субъекта</w:t>
        </w:r>
      </w:hyperlink>
      <w:r>
        <w:rPr>
          <w:rFonts w:ascii="Times New Roman" w:hAnsi="Times New Roman"/>
          <w:color w:val="202122"/>
          <w:sz w:val="21"/>
          <w:szCs w:val="21"/>
        </w:rPr>
        <w:t>.</w:t>
      </w:r>
    </w:p>
    <w:p w:rsidR="007F25DA" w:rsidRDefault="007F25DA" w:rsidP="007F25DA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/>
          <w:color w:val="202122"/>
          <w:sz w:val="21"/>
          <w:szCs w:val="21"/>
        </w:rPr>
      </w:pPr>
      <w:r>
        <w:rPr>
          <w:rFonts w:ascii="Times New Roman" w:hAnsi="Times New Roman"/>
          <w:color w:val="202122"/>
          <w:sz w:val="21"/>
          <w:szCs w:val="21"/>
        </w:rPr>
        <w:t>Общающихся людей отличает хорошее взаимопонимание в вопросах дела.</w:t>
      </w:r>
    </w:p>
    <w:p w:rsidR="007F25DA" w:rsidRDefault="007F25DA" w:rsidP="007F25DA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/>
          <w:color w:val="202122"/>
          <w:sz w:val="21"/>
          <w:szCs w:val="21"/>
        </w:rPr>
      </w:pPr>
      <w:r>
        <w:rPr>
          <w:rFonts w:ascii="Times New Roman" w:hAnsi="Times New Roman"/>
          <w:color w:val="202122"/>
          <w:sz w:val="21"/>
          <w:szCs w:val="21"/>
        </w:rPr>
        <w:t>Основная задача делового общения — продуктивное </w:t>
      </w:r>
      <w:hyperlink r:id="rId36" w:tooltip="Сотрудничество" w:history="1">
        <w:r>
          <w:rPr>
            <w:rStyle w:val="a3"/>
            <w:color w:val="0645AD"/>
            <w:sz w:val="21"/>
            <w:szCs w:val="21"/>
          </w:rPr>
          <w:t>сотрудничество</w:t>
        </w:r>
      </w:hyperlink>
      <w:r>
        <w:rPr>
          <w:rFonts w:ascii="Times New Roman" w:hAnsi="Times New Roman"/>
          <w:color w:val="202122"/>
          <w:sz w:val="21"/>
          <w:szCs w:val="21"/>
        </w:rPr>
        <w:t>.</w:t>
      </w:r>
    </w:p>
    <w:p w:rsidR="007F25DA" w:rsidRDefault="007F25DA" w:rsidP="007F25DA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r>
        <w:rPr>
          <w:color w:val="202122"/>
          <w:sz w:val="21"/>
          <w:szCs w:val="21"/>
        </w:rPr>
        <w:t xml:space="preserve">В зависимости от различных признаков деловое общение делится </w:t>
      </w:r>
      <w:proofErr w:type="gramStart"/>
      <w:r>
        <w:rPr>
          <w:color w:val="202122"/>
          <w:sz w:val="21"/>
          <w:szCs w:val="21"/>
        </w:rPr>
        <w:t>на</w:t>
      </w:r>
      <w:proofErr w:type="gramEnd"/>
      <w:r>
        <w:rPr>
          <w:color w:val="202122"/>
          <w:sz w:val="21"/>
          <w:szCs w:val="21"/>
        </w:rPr>
        <w:t>:</w:t>
      </w:r>
    </w:p>
    <w:p w:rsidR="007F25DA" w:rsidRDefault="007F25DA" w:rsidP="007F25DA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color w:val="202122"/>
          <w:sz w:val="21"/>
          <w:szCs w:val="21"/>
        </w:rPr>
      </w:pPr>
      <w:r>
        <w:rPr>
          <w:rFonts w:ascii="Times New Roman" w:hAnsi="Times New Roman"/>
          <w:color w:val="202122"/>
          <w:sz w:val="21"/>
          <w:szCs w:val="21"/>
        </w:rPr>
        <w:t>устное</w:t>
      </w:r>
    </w:p>
    <w:p w:rsidR="007F25DA" w:rsidRDefault="007F25DA" w:rsidP="007F25DA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color w:val="202122"/>
          <w:sz w:val="21"/>
          <w:szCs w:val="21"/>
        </w:rPr>
      </w:pPr>
      <w:r>
        <w:rPr>
          <w:rFonts w:ascii="Times New Roman" w:hAnsi="Times New Roman"/>
          <w:color w:val="202122"/>
          <w:sz w:val="21"/>
          <w:szCs w:val="21"/>
        </w:rPr>
        <w:t>письменное;</w:t>
      </w:r>
    </w:p>
    <w:p w:rsidR="007F25DA" w:rsidRDefault="007F25DA" w:rsidP="007F25DA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r>
        <w:rPr>
          <w:color w:val="202122"/>
          <w:sz w:val="21"/>
          <w:szCs w:val="21"/>
        </w:rPr>
        <w:t xml:space="preserve">с точки зрения — </w:t>
      </w:r>
      <w:proofErr w:type="spellStart"/>
      <w:r>
        <w:rPr>
          <w:color w:val="202122"/>
          <w:sz w:val="21"/>
          <w:szCs w:val="21"/>
        </w:rPr>
        <w:t>однонаправленности</w:t>
      </w:r>
      <w:proofErr w:type="spellEnd"/>
      <w:r>
        <w:rPr>
          <w:color w:val="202122"/>
          <w:sz w:val="21"/>
          <w:szCs w:val="21"/>
        </w:rPr>
        <w:t xml:space="preserve">/ </w:t>
      </w:r>
      <w:proofErr w:type="spellStart"/>
      <w:r>
        <w:rPr>
          <w:color w:val="202122"/>
          <w:sz w:val="21"/>
          <w:szCs w:val="21"/>
        </w:rPr>
        <w:t>двунаправленности</w:t>
      </w:r>
      <w:proofErr w:type="spellEnd"/>
      <w:r>
        <w:rPr>
          <w:color w:val="202122"/>
          <w:sz w:val="21"/>
          <w:szCs w:val="21"/>
        </w:rPr>
        <w:t xml:space="preserve"> речи между </w:t>
      </w:r>
      <w:proofErr w:type="gramStart"/>
      <w:r>
        <w:rPr>
          <w:color w:val="202122"/>
          <w:sz w:val="21"/>
          <w:szCs w:val="21"/>
        </w:rPr>
        <w:t>говорящим</w:t>
      </w:r>
      <w:proofErr w:type="gramEnd"/>
      <w:r>
        <w:rPr>
          <w:color w:val="202122"/>
          <w:sz w:val="21"/>
          <w:szCs w:val="21"/>
        </w:rPr>
        <w:t xml:space="preserve"> и слушающим:</w:t>
      </w:r>
    </w:p>
    <w:p w:rsidR="007F25DA" w:rsidRDefault="007F25DA" w:rsidP="007F25DA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color w:val="202122"/>
          <w:sz w:val="21"/>
          <w:szCs w:val="21"/>
        </w:rPr>
      </w:pPr>
      <w:r>
        <w:rPr>
          <w:rFonts w:ascii="Times New Roman" w:hAnsi="Times New Roman"/>
          <w:color w:val="202122"/>
          <w:sz w:val="21"/>
          <w:szCs w:val="21"/>
        </w:rPr>
        <w:t>диалогическое</w:t>
      </w:r>
    </w:p>
    <w:p w:rsidR="007F25DA" w:rsidRDefault="007F25DA" w:rsidP="007F25DA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color w:val="202122"/>
          <w:sz w:val="21"/>
          <w:szCs w:val="21"/>
        </w:rPr>
      </w:pPr>
      <w:r>
        <w:rPr>
          <w:rFonts w:ascii="Times New Roman" w:hAnsi="Times New Roman"/>
          <w:color w:val="202122"/>
          <w:sz w:val="21"/>
          <w:szCs w:val="21"/>
        </w:rPr>
        <w:t>монологическое;</w:t>
      </w:r>
    </w:p>
    <w:p w:rsidR="007F25DA" w:rsidRDefault="007F25DA" w:rsidP="007F25DA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r>
        <w:rPr>
          <w:color w:val="202122"/>
          <w:sz w:val="21"/>
          <w:szCs w:val="21"/>
        </w:rPr>
        <w:t>с точки зрения количества участников:</w:t>
      </w:r>
    </w:p>
    <w:p w:rsidR="007F25DA" w:rsidRDefault="007F25DA" w:rsidP="007F25DA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color w:val="202122"/>
          <w:sz w:val="21"/>
          <w:szCs w:val="21"/>
        </w:rPr>
      </w:pPr>
      <w:r>
        <w:rPr>
          <w:rFonts w:ascii="Times New Roman" w:hAnsi="Times New Roman"/>
          <w:color w:val="202122"/>
          <w:sz w:val="21"/>
          <w:szCs w:val="21"/>
        </w:rPr>
        <w:t>межличностное</w:t>
      </w:r>
    </w:p>
    <w:p w:rsidR="007F25DA" w:rsidRDefault="007F25DA" w:rsidP="007F25DA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color w:val="202122"/>
          <w:sz w:val="21"/>
          <w:szCs w:val="21"/>
        </w:rPr>
      </w:pPr>
      <w:r>
        <w:rPr>
          <w:rFonts w:ascii="Times New Roman" w:hAnsi="Times New Roman"/>
          <w:color w:val="202122"/>
          <w:sz w:val="21"/>
          <w:szCs w:val="21"/>
        </w:rPr>
        <w:t>публичное;</w:t>
      </w:r>
    </w:p>
    <w:p w:rsidR="007F25DA" w:rsidRDefault="007F25DA" w:rsidP="007F25DA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r>
        <w:rPr>
          <w:color w:val="202122"/>
          <w:sz w:val="21"/>
          <w:szCs w:val="21"/>
        </w:rPr>
        <w:t>с точки зрения отсутствия/наличия опосредующего аппарата:</w:t>
      </w:r>
    </w:p>
    <w:p w:rsidR="007F25DA" w:rsidRDefault="007F25DA" w:rsidP="007F25DA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color w:val="202122"/>
          <w:sz w:val="21"/>
          <w:szCs w:val="21"/>
        </w:rPr>
      </w:pPr>
      <w:r>
        <w:rPr>
          <w:rFonts w:ascii="Times New Roman" w:hAnsi="Times New Roman"/>
          <w:color w:val="202122"/>
          <w:sz w:val="21"/>
          <w:szCs w:val="21"/>
        </w:rPr>
        <w:t>непосредственное</w:t>
      </w:r>
    </w:p>
    <w:p w:rsidR="007F25DA" w:rsidRDefault="007F25DA" w:rsidP="007F25DA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color w:val="202122"/>
          <w:sz w:val="21"/>
          <w:szCs w:val="21"/>
        </w:rPr>
      </w:pPr>
      <w:r>
        <w:rPr>
          <w:rFonts w:ascii="Times New Roman" w:hAnsi="Times New Roman"/>
          <w:color w:val="202122"/>
          <w:sz w:val="21"/>
          <w:szCs w:val="21"/>
        </w:rPr>
        <w:t>опосредованное;</w:t>
      </w:r>
    </w:p>
    <w:p w:rsidR="007F25DA" w:rsidRDefault="007F25DA" w:rsidP="007F25DA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r>
        <w:rPr>
          <w:color w:val="202122"/>
          <w:sz w:val="21"/>
          <w:szCs w:val="21"/>
        </w:rPr>
        <w:t xml:space="preserve">с точки зрения положения </w:t>
      </w:r>
      <w:proofErr w:type="spellStart"/>
      <w:r>
        <w:rPr>
          <w:color w:val="202122"/>
          <w:sz w:val="21"/>
          <w:szCs w:val="21"/>
        </w:rPr>
        <w:t>коммуникантов</w:t>
      </w:r>
      <w:proofErr w:type="spellEnd"/>
      <w:r>
        <w:rPr>
          <w:color w:val="202122"/>
          <w:sz w:val="21"/>
          <w:szCs w:val="21"/>
        </w:rPr>
        <w:t xml:space="preserve"> в пространстве:</w:t>
      </w:r>
    </w:p>
    <w:p w:rsidR="007F25DA" w:rsidRDefault="007F25DA" w:rsidP="007F25DA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color w:val="202122"/>
          <w:sz w:val="21"/>
          <w:szCs w:val="21"/>
        </w:rPr>
      </w:pPr>
      <w:r>
        <w:rPr>
          <w:rFonts w:ascii="Times New Roman" w:hAnsi="Times New Roman"/>
          <w:color w:val="202122"/>
          <w:sz w:val="21"/>
          <w:szCs w:val="21"/>
        </w:rPr>
        <w:t>контактное</w:t>
      </w:r>
    </w:p>
    <w:p w:rsidR="007F25DA" w:rsidRDefault="007F25DA" w:rsidP="007F25DA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color w:val="202122"/>
          <w:sz w:val="21"/>
          <w:szCs w:val="21"/>
        </w:rPr>
      </w:pPr>
      <w:proofErr w:type="spellStart"/>
      <w:r>
        <w:rPr>
          <w:rFonts w:ascii="Times New Roman" w:hAnsi="Times New Roman"/>
          <w:color w:val="202122"/>
          <w:sz w:val="21"/>
          <w:szCs w:val="21"/>
        </w:rPr>
        <w:t>дистантное</w:t>
      </w:r>
      <w:proofErr w:type="spellEnd"/>
      <w:r>
        <w:rPr>
          <w:rFonts w:ascii="Times New Roman" w:hAnsi="Times New Roman"/>
          <w:color w:val="202122"/>
          <w:sz w:val="21"/>
          <w:szCs w:val="21"/>
        </w:rPr>
        <w:t>.</w:t>
      </w:r>
    </w:p>
    <w:p w:rsidR="007F25DA" w:rsidRDefault="007F25DA" w:rsidP="007F25DA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b w:val="0"/>
          <w:bCs w:val="0"/>
          <w:i/>
          <w:sz w:val="28"/>
          <w:szCs w:val="28"/>
        </w:rPr>
      </w:pPr>
      <w:r>
        <w:rPr>
          <w:rStyle w:val="mw-headline"/>
          <w:b w:val="0"/>
          <w:bCs w:val="0"/>
          <w:i/>
          <w:sz w:val="28"/>
          <w:szCs w:val="28"/>
        </w:rPr>
        <w:t>Формы делового общения</w:t>
      </w:r>
    </w:p>
    <w:p w:rsidR="007F25DA" w:rsidRDefault="007F25DA" w:rsidP="007F25DA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r>
        <w:rPr>
          <w:b/>
          <w:bCs/>
          <w:color w:val="202122"/>
          <w:sz w:val="21"/>
          <w:szCs w:val="21"/>
        </w:rPr>
        <w:t>Деловая </w:t>
      </w:r>
      <w:hyperlink r:id="rId37" w:tooltip="Беседа" w:history="1">
        <w:r>
          <w:rPr>
            <w:rStyle w:val="a3"/>
            <w:rFonts w:eastAsia="Calibri"/>
            <w:color w:val="0645AD"/>
            <w:sz w:val="21"/>
            <w:szCs w:val="21"/>
          </w:rPr>
          <w:t>беседа</w:t>
        </w:r>
      </w:hyperlink>
      <w:r>
        <w:rPr>
          <w:color w:val="202122"/>
          <w:sz w:val="21"/>
          <w:szCs w:val="21"/>
        </w:rPr>
        <w:t> — межличностное речевое общение нескольких собеседников с целью разрешения определенных деловых проблем или установления деловых отношений. Наиболее распространенная и чаще всего применяемая форма деловой коммуникации.</w:t>
      </w:r>
    </w:p>
    <w:p w:rsidR="007F25DA" w:rsidRDefault="007F25DA" w:rsidP="007F25DA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hyperlink r:id="rId38" w:tooltip="Телефонный разговор" w:history="1">
        <w:r>
          <w:rPr>
            <w:rStyle w:val="a3"/>
            <w:rFonts w:eastAsia="Calibri"/>
            <w:color w:val="0645AD"/>
            <w:sz w:val="21"/>
            <w:szCs w:val="21"/>
          </w:rPr>
          <w:t>Деловая беседа по телефону</w:t>
        </w:r>
      </w:hyperlink>
      <w:r>
        <w:rPr>
          <w:color w:val="202122"/>
          <w:sz w:val="21"/>
          <w:szCs w:val="21"/>
        </w:rPr>
        <w:t xml:space="preserve"> — способ оперативной связи, значительно ограниченной по времени, требующей от обеих сторон знание правил этикета телефонных разговоров (приветствие, </w:t>
      </w:r>
      <w:proofErr w:type="spellStart"/>
      <w:r>
        <w:rPr>
          <w:color w:val="202122"/>
          <w:sz w:val="21"/>
          <w:szCs w:val="21"/>
        </w:rPr>
        <w:t>взаимопредставление</w:t>
      </w:r>
      <w:proofErr w:type="spellEnd"/>
      <w:r>
        <w:rPr>
          <w:color w:val="202122"/>
          <w:sz w:val="21"/>
          <w:szCs w:val="21"/>
        </w:rPr>
        <w:t>, сообщение и обсуждение предмета звонка, подведение итогов, выражение признательности, прощание).</w:t>
      </w:r>
    </w:p>
    <w:p w:rsidR="007F25DA" w:rsidRDefault="007F25DA" w:rsidP="007F25DA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r>
        <w:rPr>
          <w:b/>
          <w:bCs/>
          <w:color w:val="202122"/>
          <w:sz w:val="21"/>
          <w:szCs w:val="21"/>
        </w:rPr>
        <w:t>Деловые </w:t>
      </w:r>
      <w:hyperlink r:id="rId39" w:tooltip="Переговоры" w:history="1">
        <w:r>
          <w:rPr>
            <w:rStyle w:val="a3"/>
            <w:rFonts w:eastAsia="Calibri"/>
            <w:color w:val="0645AD"/>
            <w:sz w:val="21"/>
            <w:szCs w:val="21"/>
          </w:rPr>
          <w:t>переговоры</w:t>
        </w:r>
      </w:hyperlink>
      <w:r>
        <w:rPr>
          <w:color w:val="202122"/>
          <w:sz w:val="21"/>
          <w:szCs w:val="21"/>
        </w:rPr>
        <w:t> — обмен мнениями для достижения какой-либо цели, выработки соглашения сторон.</w:t>
      </w:r>
    </w:p>
    <w:p w:rsidR="007F25DA" w:rsidRDefault="007F25DA" w:rsidP="007F25DA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r>
        <w:rPr>
          <w:b/>
          <w:bCs/>
          <w:color w:val="202122"/>
          <w:sz w:val="21"/>
          <w:szCs w:val="21"/>
        </w:rPr>
        <w:t>Служебное </w:t>
      </w:r>
      <w:hyperlink r:id="rId40" w:tooltip="Совещание" w:history="1">
        <w:r>
          <w:rPr>
            <w:rStyle w:val="a3"/>
            <w:rFonts w:eastAsia="Calibri"/>
            <w:color w:val="0645AD"/>
            <w:sz w:val="21"/>
            <w:szCs w:val="21"/>
          </w:rPr>
          <w:t>совещание</w:t>
        </w:r>
      </w:hyperlink>
      <w:r>
        <w:rPr>
          <w:color w:val="202122"/>
          <w:sz w:val="21"/>
          <w:szCs w:val="21"/>
        </w:rPr>
        <w:t> — один из эффективных способов привлечения сотрудников к </w:t>
      </w:r>
      <w:hyperlink r:id="rId41" w:tooltip="Процесс принятия решений" w:history="1">
        <w:r>
          <w:rPr>
            <w:rStyle w:val="a3"/>
            <w:rFonts w:eastAsia="Calibri"/>
            <w:color w:val="0645AD"/>
            <w:sz w:val="21"/>
            <w:szCs w:val="21"/>
          </w:rPr>
          <w:t>процессу принятия решений</w:t>
        </w:r>
      </w:hyperlink>
      <w:r>
        <w:rPr>
          <w:color w:val="202122"/>
          <w:sz w:val="21"/>
          <w:szCs w:val="21"/>
        </w:rPr>
        <w:t>, инструмент управления причастностью сотрудников к делам своего подразделения или организации в целом.</w:t>
      </w:r>
    </w:p>
    <w:p w:rsidR="007F25DA" w:rsidRDefault="007F25DA" w:rsidP="007F25DA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r>
        <w:rPr>
          <w:b/>
          <w:bCs/>
          <w:color w:val="202122"/>
          <w:sz w:val="21"/>
          <w:szCs w:val="21"/>
        </w:rPr>
        <w:t>Деловая </w:t>
      </w:r>
      <w:hyperlink r:id="rId42" w:tooltip="Дискуссия" w:history="1">
        <w:r>
          <w:rPr>
            <w:rStyle w:val="a3"/>
            <w:rFonts w:eastAsia="Calibri"/>
            <w:color w:val="0645AD"/>
            <w:sz w:val="21"/>
            <w:szCs w:val="21"/>
          </w:rPr>
          <w:t>дискуссия</w:t>
        </w:r>
      </w:hyperlink>
      <w:r>
        <w:rPr>
          <w:color w:val="202122"/>
          <w:sz w:val="21"/>
          <w:szCs w:val="21"/>
        </w:rPr>
        <w:t> — обмен мнениями по деловому вопросу в соответствии с более или менее определенными правилами процедуры и с участием всех или отдельных её участников.</w:t>
      </w:r>
    </w:p>
    <w:p w:rsidR="007F25DA" w:rsidRDefault="007F25DA" w:rsidP="007F25DA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hyperlink r:id="rId43" w:tooltip="Пресс-конференция" w:history="1">
        <w:r>
          <w:rPr>
            <w:rStyle w:val="a3"/>
            <w:rFonts w:eastAsia="Calibri"/>
            <w:color w:val="0645AD"/>
            <w:sz w:val="21"/>
            <w:szCs w:val="21"/>
          </w:rPr>
          <w:t>Пресс-конференция</w:t>
        </w:r>
      </w:hyperlink>
      <w:r>
        <w:rPr>
          <w:color w:val="202122"/>
          <w:sz w:val="21"/>
          <w:szCs w:val="21"/>
        </w:rPr>
        <w:t> — встреча официальных лиц (руководителей, политических деятелей, представителей государственной власти, специалистов по связям с общественностью, бизнесменов и т. п.) с представителями прессы, телевидения, радио с целью информирования общественности по актуальным вопросам.</w:t>
      </w:r>
    </w:p>
    <w:p w:rsidR="007F25DA" w:rsidRDefault="007F25DA" w:rsidP="007F25DA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r>
        <w:rPr>
          <w:b/>
          <w:bCs/>
          <w:color w:val="202122"/>
          <w:sz w:val="21"/>
          <w:szCs w:val="21"/>
        </w:rPr>
        <w:t>Публичная </w:t>
      </w:r>
      <w:hyperlink r:id="rId44" w:tooltip="Речь" w:history="1">
        <w:r>
          <w:rPr>
            <w:rStyle w:val="a3"/>
            <w:rFonts w:eastAsia="Calibri"/>
            <w:color w:val="0645AD"/>
            <w:sz w:val="21"/>
            <w:szCs w:val="21"/>
          </w:rPr>
          <w:t>речь</w:t>
        </w:r>
      </w:hyperlink>
      <w:r>
        <w:rPr>
          <w:color w:val="202122"/>
          <w:sz w:val="21"/>
          <w:szCs w:val="21"/>
        </w:rPr>
        <w:t> — монологическая ораторская речь, адресованная определенной аудитории, которая произносится с целью информирования слушателей и оказания на них желаемого воздействия (убеждение, внушение, воодушевление, призыв к действию и т. д.).</w:t>
      </w:r>
    </w:p>
    <w:p w:rsidR="007F25DA" w:rsidRDefault="007F25DA" w:rsidP="007F25DA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r>
        <w:rPr>
          <w:b/>
          <w:bCs/>
          <w:color w:val="202122"/>
          <w:sz w:val="21"/>
          <w:szCs w:val="21"/>
        </w:rPr>
        <w:t>Деловая переписка</w:t>
      </w:r>
      <w:r>
        <w:rPr>
          <w:color w:val="202122"/>
          <w:sz w:val="21"/>
          <w:szCs w:val="21"/>
        </w:rPr>
        <w:t> — письменная форма взаимодействия с партнерами, заключающаяся в обмене деловыми письмами по почте либо по электронной почте. Деловое </w:t>
      </w:r>
      <w:hyperlink r:id="rId45" w:tooltip="Письмо" w:history="1">
        <w:r>
          <w:rPr>
            <w:rStyle w:val="a3"/>
            <w:rFonts w:eastAsia="Calibri"/>
            <w:color w:val="0645AD"/>
            <w:sz w:val="21"/>
            <w:szCs w:val="21"/>
          </w:rPr>
          <w:t>письмо</w:t>
        </w:r>
      </w:hyperlink>
      <w:r>
        <w:rPr>
          <w:color w:val="202122"/>
          <w:sz w:val="21"/>
          <w:szCs w:val="21"/>
        </w:rPr>
        <w:t> — это краткий </w:t>
      </w:r>
      <w:hyperlink r:id="rId46" w:tooltip="Документ" w:history="1">
        <w:r>
          <w:rPr>
            <w:rStyle w:val="a3"/>
            <w:rFonts w:eastAsia="Calibri"/>
            <w:color w:val="0645AD"/>
            <w:sz w:val="21"/>
            <w:szCs w:val="21"/>
          </w:rPr>
          <w:t>документ</w:t>
        </w:r>
      </w:hyperlink>
      <w:r>
        <w:rPr>
          <w:color w:val="202122"/>
          <w:sz w:val="21"/>
          <w:szCs w:val="21"/>
        </w:rPr>
        <w:t>, выполняющий несколько функций и касающийся одного или нескольких взаимосвязанных вопросов. Применяется для связи с внешними структурами, а также внутри организации для передачи информации между физическими и юридическими лицами на расстоянии.</w:t>
      </w:r>
    </w:p>
    <w:p w:rsidR="007F25DA" w:rsidRDefault="007F25DA" w:rsidP="007F25DA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b w:val="0"/>
          <w:bCs w:val="0"/>
          <w:i/>
          <w:sz w:val="28"/>
          <w:szCs w:val="28"/>
        </w:rPr>
      </w:pPr>
      <w:r>
        <w:rPr>
          <w:rStyle w:val="mw-headline"/>
          <w:b w:val="0"/>
          <w:bCs w:val="0"/>
          <w:i/>
          <w:sz w:val="28"/>
          <w:szCs w:val="28"/>
        </w:rPr>
        <w:t>Технология делового общения</w:t>
      </w:r>
    </w:p>
    <w:p w:rsidR="007F25DA" w:rsidRDefault="007F25DA" w:rsidP="007F25DA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/>
          <w:color w:val="202122"/>
          <w:sz w:val="21"/>
          <w:szCs w:val="21"/>
        </w:rPr>
      </w:pPr>
      <w:r>
        <w:rPr>
          <w:rFonts w:ascii="Times New Roman" w:hAnsi="Times New Roman"/>
          <w:color w:val="202122"/>
          <w:sz w:val="21"/>
          <w:szCs w:val="21"/>
        </w:rPr>
        <w:t>Вербальное общение — устная словесная передача информации.</w:t>
      </w:r>
    </w:p>
    <w:p w:rsidR="007F25DA" w:rsidRDefault="007F25DA" w:rsidP="007F25DA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/>
          <w:color w:val="202122"/>
          <w:sz w:val="21"/>
          <w:szCs w:val="21"/>
        </w:rPr>
      </w:pPr>
      <w:hyperlink r:id="rId47" w:tooltip="Невербальное общение" w:history="1">
        <w:r>
          <w:rPr>
            <w:rStyle w:val="a3"/>
            <w:color w:val="0645AD"/>
            <w:sz w:val="21"/>
            <w:szCs w:val="21"/>
          </w:rPr>
          <w:t>Невербальное общение</w:t>
        </w:r>
      </w:hyperlink>
      <w:r>
        <w:rPr>
          <w:rFonts w:ascii="Times New Roman" w:hAnsi="Times New Roman"/>
          <w:color w:val="202122"/>
          <w:sz w:val="21"/>
          <w:szCs w:val="21"/>
        </w:rPr>
        <w:t> — информация, передаваемая с помощью невербальных средств общения (жестов, мимики, интонации, позы тела и т. д.).</w:t>
      </w:r>
    </w:p>
    <w:p w:rsidR="007F25DA" w:rsidRDefault="007F25DA" w:rsidP="007F25DA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/>
          <w:color w:val="202122"/>
          <w:sz w:val="21"/>
          <w:szCs w:val="21"/>
        </w:rPr>
      </w:pPr>
      <w:r>
        <w:rPr>
          <w:rFonts w:ascii="Times New Roman" w:hAnsi="Times New Roman"/>
          <w:color w:val="202122"/>
          <w:sz w:val="21"/>
          <w:szCs w:val="21"/>
        </w:rPr>
        <w:t xml:space="preserve">Дистанционное общение — передача информации с использованием различных видов технических средств (телефон, факсимильный метод, почта, </w:t>
      </w:r>
      <w:proofErr w:type="gramStart"/>
      <w:r>
        <w:rPr>
          <w:rFonts w:ascii="Times New Roman" w:hAnsi="Times New Roman"/>
          <w:color w:val="202122"/>
          <w:sz w:val="21"/>
          <w:szCs w:val="21"/>
        </w:rPr>
        <w:t>интернет-коммуникации</w:t>
      </w:r>
      <w:proofErr w:type="gramEnd"/>
      <w:r>
        <w:rPr>
          <w:rFonts w:ascii="Times New Roman" w:hAnsi="Times New Roman"/>
          <w:color w:val="202122"/>
          <w:sz w:val="21"/>
          <w:szCs w:val="21"/>
        </w:rPr>
        <w:t>, электронная почта, системы теле- и радиовещания).</w:t>
      </w:r>
    </w:p>
    <w:p w:rsidR="007F25DA" w:rsidRDefault="007F25DA" w:rsidP="007F25DA">
      <w:pPr>
        <w:rPr>
          <w:rFonts w:ascii="Calibri" w:hAnsi="Calibri"/>
        </w:rPr>
      </w:pPr>
    </w:p>
    <w:p w:rsidR="007F25DA" w:rsidRPr="007F25DA" w:rsidRDefault="007F25DA">
      <w:pPr>
        <w:rPr>
          <w:b/>
        </w:rPr>
      </w:pPr>
      <w:bookmarkStart w:id="0" w:name="_GoBack"/>
      <w:bookmarkEnd w:id="0"/>
    </w:p>
    <w:sectPr w:rsidR="007F25DA" w:rsidRPr="007F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96E"/>
    <w:multiLevelType w:val="multilevel"/>
    <w:tmpl w:val="5066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C5217"/>
    <w:multiLevelType w:val="multilevel"/>
    <w:tmpl w:val="23B8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103F6"/>
    <w:multiLevelType w:val="multilevel"/>
    <w:tmpl w:val="4F82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C0B6F"/>
    <w:multiLevelType w:val="multilevel"/>
    <w:tmpl w:val="84A0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A0DB7"/>
    <w:multiLevelType w:val="multilevel"/>
    <w:tmpl w:val="BE66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2246F"/>
    <w:multiLevelType w:val="hybridMultilevel"/>
    <w:tmpl w:val="C196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D7021"/>
    <w:multiLevelType w:val="multilevel"/>
    <w:tmpl w:val="E68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666C4"/>
    <w:multiLevelType w:val="hybridMultilevel"/>
    <w:tmpl w:val="F9E21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2B5"/>
    <w:multiLevelType w:val="multilevel"/>
    <w:tmpl w:val="9004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24F37"/>
    <w:multiLevelType w:val="multilevel"/>
    <w:tmpl w:val="55BA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63305"/>
    <w:multiLevelType w:val="hybridMultilevel"/>
    <w:tmpl w:val="5EDC9E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A0340"/>
    <w:multiLevelType w:val="multilevel"/>
    <w:tmpl w:val="B6B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24"/>
    <w:rsid w:val="003815F2"/>
    <w:rsid w:val="003A7124"/>
    <w:rsid w:val="006E21C1"/>
    <w:rsid w:val="007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4"/>
  </w:style>
  <w:style w:type="paragraph" w:styleId="2">
    <w:name w:val="heading 2"/>
    <w:basedOn w:val="a"/>
    <w:link w:val="20"/>
    <w:uiPriority w:val="9"/>
    <w:semiHidden/>
    <w:unhideWhenUsed/>
    <w:qFormat/>
    <w:rsid w:val="007F2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2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7F25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25D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7F25DA"/>
  </w:style>
  <w:style w:type="table" w:styleId="a6">
    <w:name w:val="Table Grid"/>
    <w:basedOn w:val="a1"/>
    <w:uiPriority w:val="59"/>
    <w:rsid w:val="007F25DA"/>
    <w:pPr>
      <w:spacing w:after="0" w:line="240" w:lineRule="auto"/>
    </w:pPr>
    <w:rPr>
      <w:rFonts w:ascii="Times New Roman" w:hAnsi="Times New Roman" w:cs="Times New Roman"/>
      <w:color w:val="000000"/>
      <w:sz w:val="24"/>
      <w:szCs w:val="5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4"/>
  </w:style>
  <w:style w:type="paragraph" w:styleId="2">
    <w:name w:val="heading 2"/>
    <w:basedOn w:val="a"/>
    <w:link w:val="20"/>
    <w:uiPriority w:val="9"/>
    <w:semiHidden/>
    <w:unhideWhenUsed/>
    <w:qFormat/>
    <w:rsid w:val="007F2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2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7F25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25D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7F25DA"/>
  </w:style>
  <w:style w:type="table" w:styleId="a6">
    <w:name w:val="Table Grid"/>
    <w:basedOn w:val="a1"/>
    <w:uiPriority w:val="59"/>
    <w:rsid w:val="007F25DA"/>
    <w:pPr>
      <w:spacing w:after="0" w:line="240" w:lineRule="auto"/>
    </w:pPr>
    <w:rPr>
      <w:rFonts w:ascii="Times New Roman" w:hAnsi="Times New Roman" w:cs="Times New Roman"/>
      <w:color w:val="000000"/>
      <w:sz w:val="24"/>
      <w:szCs w:val="5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yperlink" Target="https://ru.wikipedia.org/wiki/%D0%9F%D0%B5%D1%80%D0%B5%D0%B3%D0%BE%D0%B2%D0%BE%D1%80%D1%8B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hyperlink" Target="https://ru.wikipedia.org/wiki/%D0%9B%D0%B8%D1%87%D0%BD%D0%BE%D1%81%D1%82%D1%8C" TargetMode="External"/><Relationship Id="rId42" Type="http://schemas.openxmlformats.org/officeDocument/2006/relationships/hyperlink" Target="https://ru.wikipedia.org/wiki/%D0%94%D0%B8%D1%81%D0%BA%D1%83%D1%81%D1%81%D0%B8%D1%8F" TargetMode="External"/><Relationship Id="rId47" Type="http://schemas.openxmlformats.org/officeDocument/2006/relationships/hyperlink" Target="https://ru.wikipedia.org/wiki/%D0%9D%D0%B5%D0%B2%D0%B5%D1%80%D0%B1%D0%B0%D0%BB%D1%8C%D0%BD%D0%BE%D0%B5_%D0%BE%D0%B1%D1%89%D0%B5%D0%BD%D0%B8%D0%B5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hyperlink" Target="https://ru.wikipedia.org/wiki/%D0%A2%D0%B5%D0%BB%D0%B5%D1%84%D0%BE%D0%BD%D0%BD%D1%8B%D0%B9_%D1%80%D0%B0%D0%B7%D0%B3%D0%BE%D0%B2%D0%BE%D1%80" TargetMode="External"/><Relationship Id="rId46" Type="http://schemas.openxmlformats.org/officeDocument/2006/relationships/hyperlink" Target="https://ru.wikipedia.org/wiki/%D0%94%D0%BE%D0%BA%D1%83%D0%BC%D0%B5%D0%BD%D1%82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hyperlink" Target="https://ru.wikipedia.org/wiki/%D0%9F%D1%80%D0%BE%D1%86%D0%B5%D1%81%D1%81_%D0%BF%D1%80%D0%B8%D0%BD%D1%8F%D1%82%D0%B8%D1%8F_%D1%80%D0%B5%D1%88%D0%B5%D0%BD%D0%B8%D0%B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4.jpeg"/><Relationship Id="rId37" Type="http://schemas.openxmlformats.org/officeDocument/2006/relationships/hyperlink" Target="https://ru.wikipedia.org/wiki/%D0%91%D0%B5%D1%81%D0%B5%D0%B4%D0%B0" TargetMode="External"/><Relationship Id="rId40" Type="http://schemas.openxmlformats.org/officeDocument/2006/relationships/hyperlink" Target="https://ru.wikipedia.org/wiki/%D0%A1%D0%BE%D0%B2%D0%B5%D1%89%D0%B0%D0%BD%D0%B8%D0%B5" TargetMode="External"/><Relationship Id="rId45" Type="http://schemas.openxmlformats.org/officeDocument/2006/relationships/hyperlink" Target="https://ru.wikipedia.org/wiki/%D0%9F%D0%B8%D1%81%D1%8C%D0%BC%D0%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hyperlink" Target="https://ru.wikipedia.org/wiki/%D0%A1%D0%BE%D1%82%D1%80%D1%83%D0%B4%D0%BD%D0%B8%D1%87%D0%B5%D1%81%D1%82%D0%B2%D0%BE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hyperlink" Target="mailto:ira.erokhina2011@yandex.ru" TargetMode="External"/><Relationship Id="rId44" Type="http://schemas.openxmlformats.org/officeDocument/2006/relationships/hyperlink" Target="https://ru.wikipedia.org/wiki/%D0%A0%D0%B5%D1%87%D1%8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hyperlink" Target="https://ru.wikipedia.org/wiki/%D0%A1%D1%83%D0%B1%D1%8A%D0%B5%D0%BA%D1%82" TargetMode="External"/><Relationship Id="rId43" Type="http://schemas.openxmlformats.org/officeDocument/2006/relationships/hyperlink" Target="https://ru.wikipedia.org/wiki/%D0%9F%D1%80%D0%B5%D1%81%D1%81-%D0%BA%D0%BE%D0%BD%D1%84%D0%B5%D1%80%D0%B5%D0%BD%D1%86%D0%B8%D1%8F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2021-12-10T08:51:00Z</dcterms:created>
  <dcterms:modified xsi:type="dcterms:W3CDTF">2021-12-13T06:03:00Z</dcterms:modified>
</cp:coreProperties>
</file>