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D4" w:rsidRDefault="00723CD4" w:rsidP="00723CD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18</w:t>
      </w:r>
      <w:r w:rsidRPr="00B301FB">
        <w:rPr>
          <w:rFonts w:ascii="Times New Roman" w:hAnsi="Times New Roman" w:cs="Times New Roman"/>
          <w:b/>
          <w:sz w:val="32"/>
        </w:rPr>
        <w:t xml:space="preserve"> группа</w:t>
      </w:r>
    </w:p>
    <w:p w:rsidR="00723CD4" w:rsidRDefault="00723CD4" w:rsidP="00723CD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Группа 18 </w:t>
      </w:r>
      <w:proofErr w:type="gramStart"/>
      <w:r>
        <w:rPr>
          <w:b/>
          <w:sz w:val="40"/>
          <w:szCs w:val="40"/>
        </w:rPr>
        <w:t xml:space="preserve">( </w:t>
      </w:r>
      <w:proofErr w:type="gramEnd"/>
      <w:r>
        <w:rPr>
          <w:b/>
          <w:sz w:val="40"/>
          <w:szCs w:val="40"/>
        </w:rPr>
        <w:t>математика):</w:t>
      </w:r>
    </w:p>
    <w:p w:rsidR="00723CD4" w:rsidRDefault="00723CD4" w:rsidP="00723CD4">
      <w:pPr>
        <w:rPr>
          <w:sz w:val="32"/>
          <w:szCs w:val="32"/>
        </w:rPr>
      </w:pPr>
      <w:r>
        <w:rPr>
          <w:sz w:val="32"/>
          <w:szCs w:val="32"/>
        </w:rPr>
        <w:t>1) Повторить параграфы 44-47, разобрать примеры из параграфа в тетрадь.</w:t>
      </w:r>
    </w:p>
    <w:p w:rsidR="00723CD4" w:rsidRDefault="00723CD4" w:rsidP="00723CD4">
      <w:pPr>
        <w:rPr>
          <w:sz w:val="32"/>
          <w:szCs w:val="32"/>
        </w:rPr>
      </w:pPr>
      <w:r>
        <w:rPr>
          <w:sz w:val="32"/>
          <w:szCs w:val="32"/>
        </w:rPr>
        <w:t>2) Выполнить  № 796  , 797 нечетные.</w:t>
      </w:r>
      <w:r>
        <w:rPr>
          <w:sz w:val="32"/>
          <w:szCs w:val="32"/>
        </w:rPr>
        <w:br/>
        <w:t>3) Выполнить № 816, 818.</w:t>
      </w:r>
    </w:p>
    <w:p w:rsidR="00723CD4" w:rsidRDefault="00723CD4" w:rsidP="00723CD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КПК математики: </w:t>
      </w:r>
      <w:r>
        <w:rPr>
          <w:sz w:val="32"/>
          <w:szCs w:val="32"/>
        </w:rPr>
        <w:t>Подготовка к дифференцированному зачету</w:t>
      </w:r>
      <w:r>
        <w:rPr>
          <w:b/>
          <w:sz w:val="32"/>
          <w:szCs w:val="32"/>
        </w:rPr>
        <w:t xml:space="preserve">.  </w:t>
      </w:r>
      <w:r>
        <w:rPr>
          <w:sz w:val="32"/>
          <w:szCs w:val="32"/>
        </w:rPr>
        <w:t xml:space="preserve">Задания </w:t>
      </w:r>
    </w:p>
    <w:p w:rsidR="00723CD4" w:rsidRDefault="00723CD4" w:rsidP="00723CD4">
      <w:pPr>
        <w:rPr>
          <w:sz w:val="32"/>
          <w:szCs w:val="32"/>
        </w:rPr>
      </w:pPr>
      <w:r>
        <w:rPr>
          <w:sz w:val="32"/>
          <w:szCs w:val="32"/>
        </w:rPr>
        <w:t>по темам: 1) действия с обыкновенными дробями. 2) действия со степенями. 3) квадратные уравнения. 4) тригонометрические уравнения.  5) задачи на проценты. 6) линейные неравенства. 7) геометрическая задача на теорему Пифагора.</w:t>
      </w:r>
    </w:p>
    <w:p w:rsidR="009F5E3D" w:rsidRDefault="00A35D65"/>
    <w:p w:rsidR="00A9116A" w:rsidRDefault="00A9116A">
      <w:pPr>
        <w:rPr>
          <w:rStyle w:val="a3"/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Экономика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исьменно ответить на вопрос "Каковы структура и механизмы инновационной экономики? Понятие инновационная экономика" 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https://www.evkova.org/innovatsionnaya-ekonomika-ee-mehanizmyi-i-struktura-osnovyi-i-kontseptsiya</w:t>
        </w:r>
      </w:hyperlink>
    </w:p>
    <w:p w:rsidR="008D2E71" w:rsidRDefault="008D2E71">
      <w:pPr>
        <w:rPr>
          <w:rStyle w:val="a3"/>
          <w:rFonts w:ascii="Arial" w:hAnsi="Arial" w:cs="Arial"/>
          <w:sz w:val="23"/>
          <w:szCs w:val="23"/>
          <w:shd w:val="clear" w:color="auto" w:fill="FFFFFF"/>
        </w:rPr>
      </w:pPr>
    </w:p>
    <w:p w:rsidR="008D2E71" w:rsidRDefault="008D2E71" w:rsidP="008D2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11.12</w:t>
      </w:r>
    </w:p>
    <w:p w:rsidR="008D2E71" w:rsidRDefault="008D2E71" w:rsidP="008D2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ДОДО </w:t>
      </w:r>
      <w:r>
        <w:rPr>
          <w:rFonts w:ascii="Times New Roman" w:hAnsi="Times New Roman" w:cs="Times New Roman"/>
          <w:sz w:val="24"/>
          <w:szCs w:val="24"/>
        </w:rPr>
        <w:t>гр. №18</w:t>
      </w:r>
    </w:p>
    <w:p w:rsidR="008D2E71" w:rsidRDefault="008D2E71" w:rsidP="008D2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 4.5«Плановая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кластер, 4.5.1.- 4.5.2.спрошу пересказ</w:t>
      </w:r>
    </w:p>
    <w:p w:rsidR="008D2E71" w:rsidRDefault="008D2E71" w:rsidP="008D2E71">
      <w:pPr>
        <w:rPr>
          <w:rFonts w:ascii="Times New Roman" w:hAnsi="Times New Roman" w:cs="Times New Roman"/>
          <w:sz w:val="24"/>
          <w:szCs w:val="24"/>
        </w:rPr>
      </w:pPr>
    </w:p>
    <w:p w:rsidR="008D2E71" w:rsidRDefault="008D2E71" w:rsidP="008D2E71">
      <w:pPr>
        <w:rPr>
          <w:rFonts w:ascii="Times New Roman" w:hAnsi="Times New Roman" w:cs="Times New Roman"/>
          <w:sz w:val="24"/>
          <w:szCs w:val="24"/>
        </w:rPr>
      </w:pPr>
    </w:p>
    <w:p w:rsidR="008D2E71" w:rsidRDefault="008D2E71" w:rsidP="008D2E7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практике </w:t>
      </w:r>
    </w:p>
    <w:p w:rsidR="008D2E71" w:rsidRDefault="008D2E71" w:rsidP="008D2E7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Составьте и оформите докладные, и объяснительные записки,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необходимые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следующих управленческих ситуациях.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Ситуация 1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начальника Производственного объединения «Московская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городская телефонная сеть» (МГТС) Министерства связи РФ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М.И.Дубов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обратился к начальнику специального управления телефонной связи того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министерства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Г.С.Аксенову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докладной запиской о выделении прямых проводов и назначении телефонных номеров на договорной основе. В докладной записке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М.И.Дубов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сообщал о том, что в сентябре текущего года объединением (МГТС) были подготовлены и согласованы с Главным планово-финансовым управлением Министерства связи РФ договоры с новыми абонентами. Для включения указанных абонентов в сеть передачи данных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 1 декабря текущего года необходимо выделение прямых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проводов. В связи с этим г-н Дубов выдвинул предложение о выделении прямых проводов и назначении телефонных номеров на договорной основе указанным абонентам. Докладная записка была составлена исполнителем Орловой и подписана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М.И.Дубовым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ноября текущего года.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Ситуация 2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Курьер ЗАО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С.С.Сомов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регулярно опаздывал на работу, чем нарушал трудовую дисциплину. Заведующая канцелярией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И.В.Шумилина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неоднократно делала ему замечания (в устной форме), а 12 июня текущего года была вынуждена обратиться с данным вопросом к Генеральному директору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А.В.Седову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докладной запиской, в которой просила принять меры дисциплинарного характера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С.С.Сомову</w:t>
      </w:r>
      <w:proofErr w:type="spellEnd"/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Ситуация 3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отдела новых проектов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О.В.Токарева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обратилась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«Мастер» г-ну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А.Д.Иевлеву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докладной запиской о необходимости увеличения штатной численности отдела. В докладной записке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О.В.Токарева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сообщала о том, что в настоящее время для успешной работы агентства необходимо увеличение базы данных о потенциальных клиентах. По ее мнению, одним из наиболее реальных путей расширения базы данных является постоянный анализ средств массовой информации, в частности прессы (информация о наиболее крупных клиентах агентства была получена из аналитического журнала «Эксперт»).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тем, что отдел в его настоящем составе (5 сотрудников) не имеет возможности организовать подробное изучение аналитических изданий,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О.В.Токарева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 целесообразным ввести в штат отдела две должности менеджеров для изучения и анализа прессы с целью выявления потенциальных клиентов, а также подготовки оперативной информации о положении на рынке СМИ в форме еженедельных отчетов.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докладной записке Токарева предложила на эти должности подобрать сотрудников из числа студентов 4-5 курсов факультета журналистика МГУ или школы рекламы.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Ситуация 4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Ивановской области сложилось крайне напряженное положение с торговлей промышленными товарами и, в частности, мебелью. В 12 из 15 районов торговля мебелью ведется в неприспособленных помещениях, лишенных необходимого оборудования, не имеющих нормальных подъездных путей. 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разрешения данной проблемы к руководителю администрации Ивановской области П. И. Полежаеву обратился начальник Управления торговли Администрации Ивановской области К. Д. Тарасов. В докладной записке в связи с необходимостью создания условий, отвечающих требованиям организации торговли мебелью, Тарасов просил дать указания руководителям администраций соответствующих районов о предоставлении для торговли мебелью помещений, отвечающих установленным нормам.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Ситуация 5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консультант отдела правового обеспечения клиентов ЗАО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Тристар</w:t>
      </w:r>
      <w:proofErr w:type="spellEnd"/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Консалт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П.Д.Милошенков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В.И.Сидоренко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(приказ от 10.07.200__г. № 53 «О проверке работы отдела правового обеспечения клиентов»), провел анализ эффективности работы сотрудников отдела «на выезде» в первом полугодии текущего года. О проделанной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П.Д.Милошенков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поставил в известность Генерального директора посредством составления докладной записки, в которой изложил также свою точку зрения о необходимости увеличения числа штатных сотрудников отдела, имеющих права на управление легковым автотранспортом и владеющих таковым.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докладной записке были приложены следующие документы: 1 Анализ эффективности работы сотрудников отдела правового обеспечения клиентов «на выезде» за 1 полугодие 200__г. на 2 л. в 1 экз. . 2 Расчет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по зонам на 1 л. в 1 экз. . 3 Расчет обеспечения сотрудников мобильными средствами связи на 1 л. в 1 экз. . 4 Расчет-обоснование увеличения числа штатных сотрудников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правового обеспечения клиентов на 3 л. в 2 экз.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Ситуация 6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Менеджер отдела маркетинг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«Консультант»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М.И.Токарев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сентября</w:t>
      </w: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текущего года опоздал на работу почти на целый час (45 мин.), о чем ему было сделано замечание директором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М.П.Устиновой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предложено объяснить причины проступка в письменной форме.</w:t>
      </w:r>
    </w:p>
    <w:p w:rsidR="008D2E71" w:rsidRDefault="008D2E71" w:rsidP="008D2E7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71" w:rsidRDefault="008D2E71" w:rsidP="008D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E71" w:rsidRDefault="008D2E71" w:rsidP="008D2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№18</w:t>
      </w:r>
    </w:p>
    <w:p w:rsidR="008D2E71" w:rsidRDefault="008D2E71" w:rsidP="008D2E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 стр.34,35 (перевести и выучить наизусть, подготовка к контрольной работе)</w:t>
      </w:r>
    </w:p>
    <w:p w:rsidR="008D2E71" w:rsidRDefault="008D2E71" w:rsidP="008D2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E71" w:rsidRDefault="008D2E71" w:rsidP="008D2E7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35D65" w:rsidRDefault="00A35D65" w:rsidP="00A35D65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Задание на 11.12-13.12</w:t>
      </w:r>
    </w:p>
    <w:p w:rsidR="00A35D65" w:rsidRDefault="00A35D65" w:rsidP="00A35D6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Ерохина Ирина Александровна</w:t>
      </w:r>
    </w:p>
    <w:p w:rsidR="00A35D65" w:rsidRDefault="00A35D65" w:rsidP="00A3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ira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erokhina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2011@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A35D65" w:rsidRDefault="00A35D65" w:rsidP="00A35D65">
      <w:pPr>
        <w:ind w:left="360" w:hanging="484"/>
        <w:rPr>
          <w:rFonts w:ascii="Times New Roman" w:hAnsi="Times New Roman" w:cs="Times New Roman"/>
          <w:b/>
          <w:sz w:val="28"/>
          <w:szCs w:val="28"/>
        </w:rPr>
      </w:pPr>
    </w:p>
    <w:p w:rsidR="00A35D65" w:rsidRDefault="00A35D65" w:rsidP="00A35D65">
      <w:pPr>
        <w:ind w:left="360" w:hanging="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Изучение второго (основного) ряда клавиатуры. Практическая работа.</w:t>
      </w:r>
    </w:p>
    <w:p w:rsidR="00A35D65" w:rsidRDefault="00A35D65" w:rsidP="00A35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 Практическая работа «Техника письма»</w:t>
      </w:r>
    </w:p>
    <w:p w:rsidR="00A35D65" w:rsidRDefault="00A35D65" w:rsidP="00A35D65">
      <w:pPr>
        <w:shd w:val="clear" w:color="auto" w:fill="FFFFFF"/>
        <w:spacing w:before="100" w:beforeAutospacing="1" w:after="202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Упражнение № 2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Тема: «Изучение клавиатуры. Основной (второй) ряд клавиатуры, буквы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 Э»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Цель работы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Изучение основного (второго) ряда клавиатуры, буквы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 Э. Научиться правильной постановке рук на клавиши основного ряда клавиатуры.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Поставьте руки вслепую на исходную позицию: пальцы левой руки на буквы Ф Ы В А, правой – на буквы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 Д Ж. Проверьте правильность позиции.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Для написания буквы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необходимо указательный палец правой руки приподнять, отвести немного влево и сделать короткий, отрывистый удар по клавише Р, затем вернуть палец на исходную позицию (на букву О). Точно так же производят удар по клавише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только левой рукой. Повторяйте этот прием до тех пор, пока не появиться уверенность в движении (не менее 15 раз).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удара по клавише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мизинец правой руки оттягивается вправо, делается отрывистый удар по клавише Э, и палец возвращается в исходное положение (на букву Ж). Повторяйте этот прием до тех пор, пока не появиться уверенность в движении (не менее 15 раз).</w:t>
      </w:r>
    </w:p>
    <w:p w:rsidR="00A35D65" w:rsidRDefault="00A35D65" w:rsidP="00A35D65">
      <w:pPr>
        <w:shd w:val="clear" w:color="auto" w:fill="FFFFFF"/>
        <w:spacing w:before="100" w:beforeAutospacing="1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53615" cy="1451610"/>
            <wp:effectExtent l="0" t="0" r="0" b="0"/>
            <wp:docPr id="1" name="Рисунок 1" descr="Описание: https://gigabaza.ru/images/6/11990/5e1545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gigabaza.ru/images/6/11990/5e1545f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75"/>
      </w:tblGrid>
      <w:tr w:rsidR="00A35D65" w:rsidTr="00A35D65">
        <w:trPr>
          <w:tblCellSpacing w:w="15" w:type="dxa"/>
        </w:trPr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65" w:rsidRDefault="00A35D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Помните о четком и уверенном ударе по клавише!</w:t>
            </w:r>
          </w:p>
          <w:p w:rsidR="00A35D65" w:rsidRDefault="00A35D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Сохраняйте правильную посадку, это даст вам возможность достигнуть наибольшей скорости письма и наименьшей утомляемости.</w:t>
            </w:r>
          </w:p>
          <w:p w:rsidR="00A35D65" w:rsidRDefault="00A35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Выполняя упражнение, все внимание сосредоточьте на оригинале работы, с которого списываете. Не смотрите на клавиатуру!</w:t>
            </w:r>
          </w:p>
        </w:tc>
      </w:tr>
    </w:tbl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Задание 1: 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Напишите буквы П, Р и</w:t>
      </w:r>
      <w:proofErr w:type="gramStart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Э</w:t>
      </w:r>
      <w:proofErr w:type="gram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по две строки через один пробел по образцу: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spellEnd"/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spellEnd"/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Задание 2: 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Напишите слова из трех букв каждое по три строки через один пробел по образцу: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рад рвы рыл род раж пол пыж пар пэр под дар дал фар жар эра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Задание 3: 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Напишите слова из четырех букв каждое по три строки через один пробел по образцу: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рады рвал форд фара арфа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арап алоэ орлы орда лава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плод плыл пора жара двор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Задание 4: 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Напишите слова из пяти букв каждое по три строки через один пробел по образцу: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повар повод плоды пожар парад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рыдал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рвала радар</w:t>
      </w:r>
    </w:p>
    <w:p w:rsidR="00A35D65" w:rsidRDefault="00A35D65" w:rsidP="00A35D65">
      <w:pPr>
        <w:shd w:val="clear" w:color="auto" w:fill="FFFFFF"/>
        <w:spacing w:before="100" w:before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выдра опора дрова дворы аврал лавры права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75"/>
      </w:tblGrid>
      <w:tr w:rsidR="00A35D65" w:rsidTr="00A35D65">
        <w:trPr>
          <w:tblCellSpacing w:w="15" w:type="dxa"/>
        </w:trPr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65" w:rsidRDefault="00A35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Стремитесь к безошибочности набора текста!</w:t>
            </w:r>
          </w:p>
        </w:tc>
      </w:tr>
    </w:tbl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право подал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порыв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жажда ждала вдова вожжа вывод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довод дрофа фалда олово оводы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пылал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вырыл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Задание 5: 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Напишите каждую фразу по 5 раз по образцу: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папа ждал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повара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папа вырыл подвал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папа продал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фары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пропала пара волков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повар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подал плоды лыжа дважды падала</w:t>
      </w:r>
      <w:proofErr w:type="gramEnd"/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вода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попала в ров папа продолжал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лов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вдова подала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воды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выдра плыла вправо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Задание 6: 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Напишите каждую строку по пять раз по образцу: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вол вал выл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вар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дал дар два дож дол рад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 рвы раж ров пол пар пыл паж пыж пэр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пал под жал жар жор фар лов лад эра ода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арап арфа алло алоэ валы воды волы воды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драп двор дары дыра рады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рвал рада плыл</w:t>
      </w:r>
      <w:proofErr w:type="gramEnd"/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пора плов плод поры пара пава поло лапа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аврал вдова вожжа вывод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вырыл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выдал выдра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опора олово оводы дрова давал дрофа довод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дворы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рыдал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рвала радар ждала фалда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аврора дважды доводы доллар вправо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вражда выводы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выждал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пропал подала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повара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правда пожары плавал порода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провод дважды доводы доллар оправа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фарфор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рыдала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жаждал подвал водород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водопад варвары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выдавал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выражал вырывал</w:t>
      </w:r>
    </w:p>
    <w:p w:rsidR="00A35D65" w:rsidRDefault="00A35D65" w:rsidP="00A35D6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выпадал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проплыл проводы продажа прорвал</w:t>
      </w:r>
    </w:p>
    <w:p w:rsidR="00A35D65" w:rsidRDefault="00A35D65" w:rsidP="00A35D65">
      <w:pPr>
        <w:shd w:val="clear" w:color="auto" w:fill="FFFFFF"/>
        <w:spacing w:before="100" w:before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жаждала пропажа радовал</w:t>
      </w:r>
      <w:proofErr w:type="gramEnd"/>
    </w:p>
    <w:p w:rsidR="00A35D65" w:rsidRDefault="00A35D65" w:rsidP="00A35D65">
      <w:pPr>
        <w:rPr>
          <w:sz w:val="24"/>
          <w:szCs w:val="24"/>
        </w:rPr>
      </w:pPr>
    </w:p>
    <w:p w:rsidR="008D2E71" w:rsidRDefault="008D2E71" w:rsidP="008D2E7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E71" w:rsidRDefault="008D2E71"/>
    <w:sectPr w:rsidR="008D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422"/>
    <w:multiLevelType w:val="hybridMultilevel"/>
    <w:tmpl w:val="E78A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4"/>
    <w:rsid w:val="003815F2"/>
    <w:rsid w:val="006E21C1"/>
    <w:rsid w:val="00723CD4"/>
    <w:rsid w:val="008D2E71"/>
    <w:rsid w:val="00A35D65"/>
    <w:rsid w:val="00A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1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E71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1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E71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ra.erokhina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innovatsionnaya-ekonomika-ee-mehanizmyi-i-struktura-osnovyi-i-kontsepts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2021-12-10T08:48:00Z</dcterms:created>
  <dcterms:modified xsi:type="dcterms:W3CDTF">2021-12-13T06:03:00Z</dcterms:modified>
</cp:coreProperties>
</file>